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87072">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202</w:t>
      </w:r>
      <w:r>
        <w:rPr>
          <w:rFonts w:hint="eastAsia" w:cs="宋体" w:asciiTheme="minorEastAsia" w:hAnsiTheme="minorEastAsia" w:eastAsiaTheme="minorEastAsia"/>
          <w:b/>
          <w:sz w:val="52"/>
          <w:szCs w:val="36"/>
          <w:lang w:val="en-US" w:eastAsia="zh-CN"/>
        </w:rPr>
        <w:t>6</w:t>
      </w:r>
      <w:r>
        <w:rPr>
          <w:rFonts w:hint="eastAsia" w:cs="宋体" w:asciiTheme="minorEastAsia" w:hAnsiTheme="minorEastAsia" w:eastAsiaTheme="minorEastAsia"/>
          <w:b/>
          <w:sz w:val="52"/>
          <w:szCs w:val="36"/>
        </w:rPr>
        <w:t>年河北省职业院校技能大赛</w:t>
      </w:r>
    </w:p>
    <w:p w14:paraId="6703E7FC">
      <w:pPr>
        <w:snapToGrid w:val="0"/>
        <w:spacing w:line="540" w:lineRule="exact"/>
        <w:jc w:val="center"/>
        <w:rPr>
          <w:rFonts w:cs="宋体" w:asciiTheme="minorEastAsia" w:hAnsiTheme="minorEastAsia" w:eastAsiaTheme="minorEastAsia"/>
          <w:b/>
          <w:sz w:val="52"/>
          <w:szCs w:val="36"/>
        </w:rPr>
      </w:pPr>
    </w:p>
    <w:p w14:paraId="094E4C27">
      <w:pPr>
        <w:snapToGrid w:val="0"/>
        <w:spacing w:line="540" w:lineRule="exact"/>
        <w:jc w:val="center"/>
        <w:rPr>
          <w:rFonts w:asciiTheme="minorEastAsia" w:hAnsiTheme="minorEastAsia" w:eastAsiaTheme="minorEastAsia"/>
          <w:b/>
          <w:sz w:val="52"/>
          <w:szCs w:val="36"/>
        </w:rPr>
      </w:pPr>
      <w:r>
        <w:rPr>
          <w:rFonts w:hint="eastAsia" w:cs="宋体" w:asciiTheme="minorEastAsia" w:hAnsiTheme="minorEastAsia" w:eastAsiaTheme="minorEastAsia"/>
          <w:b/>
          <w:sz w:val="52"/>
          <w:szCs w:val="36"/>
        </w:rPr>
        <w:t>高职</w:t>
      </w:r>
      <w:r>
        <w:rPr>
          <w:rFonts w:cs="宋体" w:asciiTheme="minorEastAsia" w:hAnsiTheme="minorEastAsia" w:eastAsiaTheme="minorEastAsia"/>
          <w:b/>
          <w:sz w:val="52"/>
          <w:szCs w:val="36"/>
        </w:rPr>
        <w:t>组</w:t>
      </w:r>
    </w:p>
    <w:p w14:paraId="3C7F9B5E">
      <w:pPr>
        <w:snapToGrid w:val="0"/>
        <w:spacing w:line="540" w:lineRule="exact"/>
        <w:jc w:val="center"/>
        <w:rPr>
          <w:rFonts w:cs="宋体" w:asciiTheme="minorEastAsia" w:hAnsiTheme="minorEastAsia" w:eastAsiaTheme="minorEastAsia"/>
          <w:b/>
          <w:sz w:val="52"/>
          <w:szCs w:val="36"/>
        </w:rPr>
      </w:pPr>
    </w:p>
    <w:p w14:paraId="6EA565E1">
      <w:pPr>
        <w:snapToGrid w:val="0"/>
        <w:spacing w:line="540" w:lineRule="exact"/>
        <w:jc w:val="center"/>
        <w:rPr>
          <w:rFonts w:cs="宋体" w:asciiTheme="minorEastAsia" w:hAnsiTheme="minorEastAsia" w:eastAsiaTheme="minorEastAsia"/>
          <w:b/>
          <w:sz w:val="52"/>
          <w:szCs w:val="36"/>
        </w:rPr>
      </w:pPr>
    </w:p>
    <w:p w14:paraId="0ED29F58">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智能机器全景应用技术开发</w:t>
      </w:r>
    </w:p>
    <w:p w14:paraId="0744D602">
      <w:pPr>
        <w:snapToGrid w:val="0"/>
        <w:spacing w:line="540" w:lineRule="exact"/>
        <w:jc w:val="center"/>
        <w:rPr>
          <w:rFonts w:cs="宋体" w:asciiTheme="minorEastAsia" w:hAnsiTheme="minorEastAsia" w:eastAsiaTheme="minorEastAsia"/>
          <w:b/>
          <w:sz w:val="52"/>
          <w:szCs w:val="36"/>
        </w:rPr>
      </w:pPr>
    </w:p>
    <w:p w14:paraId="769ABA0C">
      <w:pPr>
        <w:snapToGrid w:val="0"/>
        <w:spacing w:line="540" w:lineRule="exact"/>
        <w:jc w:val="center"/>
        <w:rPr>
          <w:rFonts w:cs="宋体" w:asciiTheme="minorEastAsia" w:hAnsiTheme="minorEastAsia" w:eastAsiaTheme="minorEastAsia"/>
          <w:b/>
          <w:sz w:val="52"/>
          <w:szCs w:val="36"/>
        </w:rPr>
      </w:pPr>
    </w:p>
    <w:p w14:paraId="274D904C">
      <w:pPr>
        <w:snapToGrid w:val="0"/>
        <w:spacing w:line="540" w:lineRule="exact"/>
        <w:jc w:val="center"/>
        <w:rPr>
          <w:rFonts w:cs="宋体" w:asciiTheme="minorEastAsia" w:hAnsiTheme="minorEastAsia" w:eastAsiaTheme="minorEastAsia"/>
          <w:b/>
          <w:sz w:val="52"/>
          <w:szCs w:val="36"/>
        </w:rPr>
      </w:pPr>
    </w:p>
    <w:p w14:paraId="606F00A1">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赛</w:t>
      </w:r>
    </w:p>
    <w:p w14:paraId="2C874B14">
      <w:pPr>
        <w:snapToGrid w:val="0"/>
        <w:spacing w:line="540" w:lineRule="exact"/>
        <w:jc w:val="center"/>
        <w:rPr>
          <w:rFonts w:cs="宋体" w:asciiTheme="minorEastAsia" w:hAnsiTheme="minorEastAsia" w:eastAsiaTheme="minorEastAsia"/>
          <w:b/>
          <w:sz w:val="52"/>
          <w:szCs w:val="36"/>
        </w:rPr>
      </w:pPr>
    </w:p>
    <w:p w14:paraId="7D5FB640">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项</w:t>
      </w:r>
    </w:p>
    <w:p w14:paraId="0250CFFB">
      <w:pPr>
        <w:snapToGrid w:val="0"/>
        <w:spacing w:line="540" w:lineRule="exact"/>
        <w:jc w:val="center"/>
        <w:rPr>
          <w:rFonts w:cs="宋体" w:asciiTheme="minorEastAsia" w:hAnsiTheme="minorEastAsia" w:eastAsiaTheme="minorEastAsia"/>
          <w:b/>
          <w:sz w:val="52"/>
          <w:szCs w:val="36"/>
        </w:rPr>
      </w:pPr>
    </w:p>
    <w:p w14:paraId="3867BED4">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规</w:t>
      </w:r>
    </w:p>
    <w:p w14:paraId="7DA2C82C">
      <w:pPr>
        <w:snapToGrid w:val="0"/>
        <w:spacing w:line="540" w:lineRule="exact"/>
        <w:jc w:val="center"/>
        <w:rPr>
          <w:rFonts w:cs="宋体" w:asciiTheme="minorEastAsia" w:hAnsiTheme="minorEastAsia" w:eastAsiaTheme="minorEastAsia"/>
          <w:b/>
          <w:sz w:val="52"/>
          <w:szCs w:val="36"/>
        </w:rPr>
      </w:pPr>
    </w:p>
    <w:p w14:paraId="6B34EDB7">
      <w:pPr>
        <w:snapToGrid w:val="0"/>
        <w:spacing w:line="540" w:lineRule="exact"/>
        <w:jc w:val="center"/>
        <w:rPr>
          <w:rFonts w:ascii="Arial Narrow" w:hAnsi="黑体" w:eastAsia="黑体" w:cs="宋体"/>
          <w:b/>
          <w:sz w:val="36"/>
          <w:szCs w:val="36"/>
        </w:rPr>
      </w:pPr>
      <w:r>
        <w:rPr>
          <w:rFonts w:hint="eastAsia" w:cs="宋体" w:asciiTheme="minorEastAsia" w:hAnsiTheme="minorEastAsia" w:eastAsiaTheme="minorEastAsia"/>
          <w:b/>
          <w:sz w:val="52"/>
          <w:szCs w:val="36"/>
        </w:rPr>
        <w:t>程</w:t>
      </w:r>
    </w:p>
    <w:p w14:paraId="32BC957C">
      <w:pPr>
        <w:widowControl/>
        <w:jc w:val="left"/>
        <w:rPr>
          <w:rFonts w:ascii="Arial Narrow" w:hAnsi="黑体" w:eastAsia="黑体" w:cs="宋体"/>
          <w:b/>
          <w:sz w:val="36"/>
          <w:szCs w:val="36"/>
        </w:rPr>
      </w:pPr>
      <w:r>
        <w:rPr>
          <w:rFonts w:ascii="Arial Narrow" w:hAnsi="黑体" w:eastAsia="黑体" w:cs="宋体"/>
          <w:b/>
          <w:sz w:val="36"/>
          <w:szCs w:val="36"/>
        </w:rPr>
        <w:br w:type="page"/>
      </w:r>
    </w:p>
    <w:p w14:paraId="3B7EB924">
      <w:pPr>
        <w:pStyle w:val="2"/>
        <w:rPr>
          <w:rFonts w:ascii="仿宋_GB2312" w:hAnsi="仿宋_GB2312" w:eastAsia="仿宋"/>
          <w:sz w:val="28"/>
          <w:szCs w:val="28"/>
        </w:rPr>
      </w:pPr>
      <w:bookmarkStart w:id="0" w:name="_Toc382406748"/>
      <w:r>
        <w:rPr>
          <w:rFonts w:ascii="Arial Narrow" w:hAnsi="Arial Narrow" w:eastAsia="仿宋_GB2312"/>
          <w:bCs w:val="0"/>
          <w:kern w:val="2"/>
          <w:sz w:val="30"/>
          <w:szCs w:val="30"/>
        </w:rPr>
        <w:t>一、赛项名称</w:t>
      </w:r>
      <w:bookmarkEnd w:id="0"/>
    </w:p>
    <w:p w14:paraId="27EF0483">
      <w:pPr>
        <w:spacing w:line="360" w:lineRule="auto"/>
        <w:ind w:firstLine="200"/>
        <w:rPr>
          <w:rFonts w:hint="eastAsia" w:ascii="Arial Narrow" w:hAnsi="Arial Narrow" w:eastAsia="仿宋_GB2312" w:cs="宋体"/>
          <w:sz w:val="28"/>
          <w:szCs w:val="28"/>
          <w:u w:val="single"/>
          <w:lang w:eastAsia="zh-CN"/>
        </w:rPr>
      </w:pPr>
      <w:r>
        <w:rPr>
          <w:rFonts w:hint="eastAsia" w:ascii="Arial Narrow" w:hAnsi="Arial Narrow" w:eastAsia="仿宋_GB2312" w:cs="宋体"/>
          <w:sz w:val="28"/>
          <w:szCs w:val="28"/>
        </w:rPr>
        <w:t>赛项名称：</w:t>
      </w:r>
      <w:r>
        <w:rPr>
          <w:rFonts w:hint="eastAsia" w:ascii="Arial Narrow" w:hAnsi="Arial Narrow" w:eastAsia="仿宋_GB2312" w:cs="宋体"/>
          <w:sz w:val="28"/>
          <w:szCs w:val="28"/>
          <w:lang w:eastAsia="zh-CN"/>
        </w:rPr>
        <w:t>智能机器全景应用技术开发</w:t>
      </w:r>
    </w:p>
    <w:p w14:paraId="414B7C82">
      <w:pPr>
        <w:spacing w:line="360" w:lineRule="auto"/>
        <w:ind w:firstLine="200"/>
        <w:rPr>
          <w:rFonts w:ascii="Arial Narrow" w:hAnsi="Arial Narrow" w:eastAsia="仿宋_GB2312" w:cs="宋体"/>
          <w:sz w:val="28"/>
          <w:szCs w:val="28"/>
        </w:rPr>
      </w:pPr>
      <w:r>
        <w:rPr>
          <w:rFonts w:hint="eastAsia" w:ascii="Arial Narrow" w:hAnsi="Arial Narrow" w:eastAsia="仿宋_GB2312" w:cs="宋体"/>
          <w:sz w:val="28"/>
          <w:szCs w:val="28"/>
        </w:rPr>
        <w:t>赛项组别：高职组</w:t>
      </w:r>
    </w:p>
    <w:p w14:paraId="74530AA6">
      <w:pPr>
        <w:spacing w:line="360" w:lineRule="auto"/>
        <w:ind w:firstLine="200"/>
        <w:rPr>
          <w:rFonts w:ascii="Arial Narrow" w:hAnsi="Arial Narrow" w:eastAsia="仿宋_GB2312" w:cs="宋体"/>
          <w:sz w:val="28"/>
          <w:szCs w:val="28"/>
          <w:u w:val="single"/>
        </w:rPr>
      </w:pPr>
      <w:r>
        <w:rPr>
          <w:rFonts w:hint="eastAsia" w:ascii="Arial Narrow" w:hAnsi="Arial Narrow" w:eastAsia="仿宋_GB2312" w:cs="宋体"/>
          <w:sz w:val="28"/>
          <w:szCs w:val="28"/>
        </w:rPr>
        <w:t>赛项归属产业：</w:t>
      </w:r>
      <w:r>
        <w:rPr>
          <w:rFonts w:hint="eastAsia" w:ascii="Arial Narrow" w:hAnsi="Arial Narrow" w:eastAsia="仿宋_GB2312" w:cs="宋体"/>
          <w:sz w:val="28"/>
          <w:szCs w:val="28"/>
          <w:lang w:val="en-US" w:eastAsia="zh-CN"/>
        </w:rPr>
        <w:t>新一代信息技术、</w:t>
      </w:r>
      <w:r>
        <w:rPr>
          <w:rFonts w:hint="eastAsia" w:ascii="Arial Narrow" w:hAnsi="Arial Narrow" w:eastAsia="仿宋_GB2312" w:cs="宋体"/>
          <w:sz w:val="28"/>
          <w:szCs w:val="28"/>
        </w:rPr>
        <w:t>电子信息产业</w:t>
      </w:r>
    </w:p>
    <w:p w14:paraId="51F3AA79">
      <w:pPr>
        <w:pStyle w:val="2"/>
        <w:rPr>
          <w:rFonts w:ascii="Arial Narrow" w:hAnsi="Arial Narrow" w:eastAsia="仿宋_GB2312"/>
          <w:bCs w:val="0"/>
          <w:kern w:val="2"/>
          <w:sz w:val="30"/>
          <w:szCs w:val="30"/>
        </w:rPr>
      </w:pPr>
      <w:bookmarkStart w:id="1" w:name="_Toc382406749"/>
      <w:r>
        <w:rPr>
          <w:rFonts w:hint="eastAsia" w:ascii="Arial Narrow" w:hAnsi="Arial Narrow" w:eastAsia="仿宋_GB2312"/>
          <w:bCs w:val="0"/>
          <w:kern w:val="2"/>
          <w:sz w:val="30"/>
          <w:szCs w:val="30"/>
        </w:rPr>
        <w:t>二、竞赛目的</w:t>
      </w:r>
      <w:bookmarkEnd w:id="1"/>
    </w:p>
    <w:p w14:paraId="6746BCC4">
      <w:pPr>
        <w:spacing w:line="360" w:lineRule="auto"/>
        <w:ind w:firstLine="560" w:firstLineChars="200"/>
        <w:rPr>
          <w:rFonts w:ascii="Arial Narrow" w:hAnsi="Arial Narrow" w:eastAsia="仿宋_GB2312" w:cs="宋体"/>
          <w:sz w:val="28"/>
          <w:szCs w:val="28"/>
        </w:rPr>
      </w:pPr>
      <w:bookmarkStart w:id="2" w:name="OLE_LINK1"/>
      <w:r>
        <w:rPr>
          <w:rFonts w:hint="eastAsia" w:ascii="Arial Narrow" w:hAnsi="Arial Narrow" w:eastAsia="仿宋_GB2312" w:cs="宋体"/>
          <w:sz w:val="28"/>
          <w:szCs w:val="28"/>
        </w:rPr>
        <w:t>本赛项</w:t>
      </w:r>
      <w:r>
        <w:rPr>
          <w:rFonts w:hint="eastAsia" w:ascii="Arial Narrow" w:hAnsi="Arial Narrow" w:eastAsia="仿宋_GB2312" w:cs="宋体"/>
          <w:sz w:val="28"/>
          <w:szCs w:val="28"/>
          <w:lang w:val="en-US" w:eastAsia="zh-CN"/>
        </w:rPr>
        <w:t>为学生赛，</w:t>
      </w:r>
      <w:r>
        <w:rPr>
          <w:rFonts w:hint="eastAsia" w:ascii="Arial Narrow" w:hAnsi="Arial Narrow" w:eastAsia="仿宋_GB2312" w:cs="宋体"/>
          <w:sz w:val="28"/>
          <w:szCs w:val="28"/>
        </w:rPr>
        <w:t>基于</w:t>
      </w:r>
      <w:r>
        <w:rPr>
          <w:rFonts w:hint="eastAsia" w:ascii="Arial Narrow" w:hAnsi="Arial Narrow" w:eastAsia="仿宋_GB2312" w:cs="宋体"/>
          <w:sz w:val="28"/>
          <w:szCs w:val="28"/>
          <w:lang w:eastAsia="zh-CN"/>
        </w:rPr>
        <w:t>智能机器全景应用</w:t>
      </w:r>
      <w:r>
        <w:rPr>
          <w:rFonts w:hint="eastAsia" w:ascii="Arial Narrow" w:hAnsi="Arial Narrow" w:eastAsia="仿宋_GB2312" w:cs="宋体"/>
          <w:sz w:val="28"/>
          <w:szCs w:val="28"/>
        </w:rPr>
        <w:t>技术，立足</w:t>
      </w:r>
      <w:r>
        <w:rPr>
          <w:rFonts w:hint="eastAsia" w:ascii="Arial Narrow" w:hAnsi="Arial Narrow" w:eastAsia="仿宋_GB2312" w:cs="宋体"/>
          <w:sz w:val="28"/>
          <w:szCs w:val="28"/>
          <w:lang w:val="en-US" w:eastAsia="zh-CN"/>
        </w:rPr>
        <w:t>人工智能</w:t>
      </w:r>
      <w:r>
        <w:rPr>
          <w:rFonts w:hint="eastAsia" w:ascii="Arial Narrow" w:hAnsi="Arial Narrow" w:eastAsia="仿宋_GB2312" w:cs="宋体"/>
          <w:sz w:val="28"/>
          <w:szCs w:val="28"/>
        </w:rPr>
        <w:t>技术人才培养的总体方向，分解各考核技能点。本项目以</w:t>
      </w:r>
      <w:r>
        <w:rPr>
          <w:rFonts w:hint="eastAsia" w:ascii="Arial Narrow" w:hAnsi="Arial Narrow" w:eastAsia="仿宋_GB2312" w:cs="宋体"/>
          <w:sz w:val="28"/>
          <w:szCs w:val="28"/>
          <w:lang w:eastAsia="zh-CN"/>
        </w:rPr>
        <w:t>智能机器全景</w:t>
      </w:r>
      <w:r>
        <w:rPr>
          <w:rFonts w:hint="eastAsia" w:ascii="Arial Narrow" w:hAnsi="Arial Narrow" w:eastAsia="仿宋_GB2312" w:cs="宋体"/>
          <w:sz w:val="28"/>
          <w:szCs w:val="28"/>
        </w:rPr>
        <w:t>技术应用为核心，要求参赛选手利用</w:t>
      </w:r>
      <w:r>
        <w:rPr>
          <w:rFonts w:hint="eastAsia" w:ascii="Arial Narrow" w:hAnsi="Arial Narrow" w:eastAsia="仿宋_GB2312" w:cs="宋体"/>
          <w:sz w:val="28"/>
          <w:szCs w:val="28"/>
          <w:lang w:val="en-US" w:eastAsia="zh-CN"/>
        </w:rPr>
        <w:t>智能机器人开发平台</w:t>
      </w:r>
      <w:r>
        <w:rPr>
          <w:rFonts w:hint="eastAsia" w:ascii="Arial Narrow" w:hAnsi="Arial Narrow" w:eastAsia="仿宋_GB2312" w:cs="宋体"/>
          <w:sz w:val="28"/>
          <w:szCs w:val="28"/>
        </w:rPr>
        <w:t>完成</w:t>
      </w:r>
      <w:r>
        <w:rPr>
          <w:rFonts w:hint="eastAsia" w:ascii="Arial Narrow" w:hAnsi="Arial Narrow" w:eastAsia="仿宋_GB2312" w:cs="宋体"/>
          <w:sz w:val="28"/>
          <w:szCs w:val="28"/>
          <w:lang w:eastAsia="zh-CN"/>
        </w:rPr>
        <w:t>智能机器全景应用技术开发</w:t>
      </w:r>
      <w:r>
        <w:rPr>
          <w:rFonts w:hint="eastAsia" w:ascii="Arial Narrow" w:hAnsi="Arial Narrow" w:eastAsia="仿宋_GB2312" w:cs="宋体"/>
          <w:sz w:val="28"/>
          <w:szCs w:val="28"/>
        </w:rPr>
        <w:t>技能。</w:t>
      </w:r>
    </w:p>
    <w:p w14:paraId="2DCE1EDA">
      <w:pPr>
        <w:spacing w:line="360" w:lineRule="auto"/>
        <w:ind w:firstLine="560" w:firstLineChars="200"/>
        <w:rPr>
          <w:rFonts w:ascii="Arial Narrow" w:hAnsi="Arial Narrow" w:eastAsia="仿宋_GB2312" w:cs="宋体"/>
          <w:sz w:val="28"/>
          <w:szCs w:val="28"/>
        </w:rPr>
      </w:pPr>
      <w:r>
        <w:rPr>
          <w:rFonts w:hint="eastAsia" w:ascii="Arial Narrow" w:hAnsi="Arial Narrow" w:eastAsia="仿宋_GB2312" w:cs="宋体"/>
          <w:sz w:val="28"/>
          <w:szCs w:val="28"/>
        </w:rPr>
        <w:t>通过竞赛，展示职业院校</w:t>
      </w:r>
      <w:r>
        <w:rPr>
          <w:rFonts w:hint="eastAsia" w:ascii="Arial Narrow" w:hAnsi="Arial Narrow" w:eastAsia="仿宋_GB2312" w:cs="宋体"/>
          <w:sz w:val="28"/>
          <w:szCs w:val="28"/>
          <w:lang w:eastAsia="zh-CN"/>
        </w:rPr>
        <w:t>智能机器全景应用</w:t>
      </w:r>
      <w:r>
        <w:rPr>
          <w:rFonts w:hint="eastAsia" w:ascii="Arial Narrow" w:hAnsi="Arial Narrow" w:eastAsia="仿宋_GB2312" w:cs="宋体"/>
          <w:sz w:val="28"/>
          <w:szCs w:val="28"/>
        </w:rPr>
        <w:t>技术及相关专业的建设成果，实现</w:t>
      </w:r>
      <w:r>
        <w:rPr>
          <w:rFonts w:hint="eastAsia" w:ascii="Arial Narrow" w:hAnsi="Arial Narrow" w:eastAsia="仿宋_GB2312" w:cs="宋体"/>
          <w:sz w:val="28"/>
          <w:szCs w:val="28"/>
          <w:lang w:val="en-US" w:eastAsia="zh-CN"/>
        </w:rPr>
        <w:t>人工智能</w:t>
      </w:r>
      <w:r>
        <w:rPr>
          <w:rFonts w:hint="eastAsia" w:ascii="Arial Narrow" w:hAnsi="Arial Narrow" w:eastAsia="仿宋_GB2312" w:cs="宋体"/>
          <w:sz w:val="28"/>
          <w:szCs w:val="28"/>
        </w:rPr>
        <w:t>应用型人才培养和产业岗位需求有效衔接，</w:t>
      </w:r>
      <w:r>
        <w:rPr>
          <w:rFonts w:ascii="Arial Narrow" w:hAnsi="Arial Narrow" w:eastAsia="仿宋_GB2312" w:cs="宋体"/>
          <w:sz w:val="28"/>
          <w:szCs w:val="28"/>
        </w:rPr>
        <w:t>提升学校</w:t>
      </w:r>
      <w:r>
        <w:rPr>
          <w:rFonts w:hint="eastAsia" w:ascii="Arial Narrow" w:hAnsi="Arial Narrow" w:eastAsia="仿宋_GB2312" w:cs="宋体"/>
          <w:sz w:val="28"/>
          <w:szCs w:val="28"/>
          <w:lang w:val="en-US" w:eastAsia="zh-CN"/>
        </w:rPr>
        <w:t>人工</w:t>
      </w:r>
      <w:r>
        <w:rPr>
          <w:rFonts w:hint="eastAsia" w:ascii="Arial Narrow" w:hAnsi="Arial Narrow" w:eastAsia="仿宋_GB2312" w:cs="宋体"/>
          <w:sz w:val="28"/>
          <w:szCs w:val="28"/>
          <w:lang w:eastAsia="zh-CN"/>
        </w:rPr>
        <w:t>智能</w:t>
      </w:r>
      <w:r>
        <w:rPr>
          <w:rFonts w:ascii="Arial Narrow" w:hAnsi="Arial Narrow" w:eastAsia="仿宋_GB2312" w:cs="宋体"/>
          <w:sz w:val="28"/>
          <w:szCs w:val="28"/>
        </w:rPr>
        <w:t>相关专业人才培养水平</w:t>
      </w:r>
      <w:r>
        <w:rPr>
          <w:rFonts w:hint="eastAsia" w:ascii="Arial Narrow" w:hAnsi="Arial Narrow" w:eastAsia="仿宋_GB2312" w:cs="宋体"/>
          <w:sz w:val="28"/>
          <w:szCs w:val="28"/>
        </w:rPr>
        <w:t>，</w:t>
      </w:r>
      <w:r>
        <w:rPr>
          <w:rFonts w:ascii="Arial Narrow" w:hAnsi="Arial Narrow" w:eastAsia="仿宋_GB2312" w:cs="宋体"/>
          <w:sz w:val="28"/>
          <w:szCs w:val="28"/>
        </w:rPr>
        <w:t>提高学校的产业贡献率和社会吸引力</w:t>
      </w:r>
      <w:r>
        <w:rPr>
          <w:rFonts w:hint="eastAsia" w:ascii="Arial Narrow" w:hAnsi="Arial Narrow" w:eastAsia="仿宋_GB2312" w:cs="宋体"/>
          <w:sz w:val="28"/>
          <w:szCs w:val="28"/>
        </w:rPr>
        <w:t>。</w:t>
      </w:r>
    </w:p>
    <w:p w14:paraId="174F23E7">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三、竞赛内容</w:t>
      </w:r>
    </w:p>
    <w:p w14:paraId="625C669C">
      <w:pPr>
        <w:spacing w:before="92" w:line="360" w:lineRule="auto"/>
        <w:ind w:left="19" w:firstLine="562"/>
        <w:rPr>
          <w:rFonts w:hint="eastAsia" w:ascii="仿宋" w:hAnsi="仿宋" w:eastAsia="仿宋_GB2312" w:cs="仿宋"/>
          <w:sz w:val="28"/>
          <w:szCs w:val="28"/>
          <w:lang w:eastAsia="zh-CN"/>
        </w:rPr>
      </w:pPr>
      <w:r>
        <w:rPr>
          <w:rFonts w:hint="eastAsia" w:ascii="Arial Narrow" w:hAnsi="Arial Narrow" w:eastAsia="仿宋_GB2312" w:cs="宋体"/>
          <w:sz w:val="28"/>
          <w:szCs w:val="28"/>
        </w:rPr>
        <w:t>本赛项通过还原智能机器人在典型场景中的全景应用过程，体现完整任务闭环。本赛项重点考查选手任务分析、程序设计、设备调试、实机操作、故障排除及技术陈述等技术技能，以及规范操作、工匠精神、逻辑思维与沟通表达等职业素养。赛题设计涵盖机器人程序开发、系统部署与调试、运行验证及成果总结汇报等职业典型工作任务。本项目要求选手根据任务需求，利用专业编程工具与机器人设备，完成从代码编写到实体机器人精准执行任务的全过程，并通过现场答辩展示其综合职业能力</w:t>
      </w:r>
      <w:r>
        <w:rPr>
          <w:rFonts w:hint="eastAsia" w:ascii="Arial Narrow" w:hAnsi="Arial Narrow" w:eastAsia="仿宋_GB2312" w:cs="宋体"/>
          <w:sz w:val="28"/>
          <w:szCs w:val="28"/>
          <w:lang w:eastAsia="zh-CN"/>
        </w:rPr>
        <w:t>。</w:t>
      </w:r>
    </w:p>
    <w:bookmarkEnd w:id="2"/>
    <w:tbl>
      <w:tblPr>
        <w:tblStyle w:val="10"/>
        <w:tblpPr w:leftFromText="180" w:rightFromText="180" w:vertAnchor="text" w:horzAnchor="margin" w:tblpY="54"/>
        <w:tblW w:w="5000" w:type="pct"/>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159"/>
        <w:gridCol w:w="3940"/>
        <w:gridCol w:w="1425"/>
        <w:gridCol w:w="1998"/>
      </w:tblGrid>
      <w:tr w14:paraId="35925D9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50" w:hRule="atLeast"/>
        </w:trPr>
        <w:tc>
          <w:tcPr>
            <w:tcW w:w="680" w:type="pct"/>
            <w:tcBorders>
              <w:top w:val="single" w:color="auto" w:sz="12" w:space="0"/>
              <w:left w:val="single" w:color="auto" w:sz="4" w:space="0"/>
              <w:bottom w:val="single" w:color="auto" w:sz="6" w:space="0"/>
            </w:tcBorders>
            <w:vAlign w:val="center"/>
          </w:tcPr>
          <w:p w14:paraId="1790299A">
            <w:pPr>
              <w:jc w:val="center"/>
              <w:rPr>
                <w:rFonts w:ascii="宋体" w:hAnsi="宋体"/>
                <w:b/>
                <w:sz w:val="24"/>
                <w:szCs w:val="24"/>
              </w:rPr>
            </w:pPr>
            <w:bookmarkStart w:id="3" w:name="OLE_LINK2"/>
            <w:r>
              <w:rPr>
                <w:rFonts w:hint="eastAsia" w:ascii="宋体" w:hAnsi="宋体"/>
                <w:b/>
                <w:sz w:val="24"/>
                <w:szCs w:val="24"/>
              </w:rPr>
              <w:t>模块</w:t>
            </w:r>
          </w:p>
          <w:p w14:paraId="66AF3EC1">
            <w:pPr>
              <w:jc w:val="center"/>
              <w:rPr>
                <w:rFonts w:ascii="宋体" w:hAnsi="宋体"/>
                <w:b/>
                <w:sz w:val="24"/>
                <w:szCs w:val="24"/>
              </w:rPr>
            </w:pPr>
            <w:r>
              <w:rPr>
                <w:rFonts w:hint="eastAsia" w:ascii="宋体" w:hAnsi="宋体"/>
                <w:b/>
                <w:sz w:val="24"/>
                <w:szCs w:val="24"/>
              </w:rPr>
              <w:t>编号</w:t>
            </w:r>
          </w:p>
        </w:tc>
        <w:tc>
          <w:tcPr>
            <w:tcW w:w="2311" w:type="pct"/>
            <w:vAlign w:val="center"/>
          </w:tcPr>
          <w:p w14:paraId="2FCC2482">
            <w:pPr>
              <w:jc w:val="center"/>
              <w:rPr>
                <w:rFonts w:ascii="宋体" w:hAnsi="宋体"/>
                <w:b/>
                <w:sz w:val="24"/>
                <w:szCs w:val="24"/>
              </w:rPr>
            </w:pPr>
            <w:r>
              <w:rPr>
                <w:rFonts w:hint="eastAsia" w:ascii="宋体" w:hAnsi="宋体"/>
                <w:b/>
                <w:sz w:val="24"/>
                <w:szCs w:val="24"/>
              </w:rPr>
              <w:t>模块名称</w:t>
            </w:r>
          </w:p>
        </w:tc>
        <w:tc>
          <w:tcPr>
            <w:tcW w:w="836" w:type="pct"/>
            <w:vAlign w:val="center"/>
          </w:tcPr>
          <w:p w14:paraId="0F1A59A6">
            <w:pPr>
              <w:jc w:val="center"/>
              <w:rPr>
                <w:rFonts w:ascii="宋体" w:hAnsi="宋体"/>
                <w:b/>
                <w:sz w:val="24"/>
                <w:szCs w:val="24"/>
              </w:rPr>
            </w:pPr>
            <w:r>
              <w:rPr>
                <w:rFonts w:hint="eastAsia" w:ascii="宋体" w:hAnsi="宋体"/>
                <w:b/>
                <w:sz w:val="24"/>
                <w:szCs w:val="24"/>
              </w:rPr>
              <w:t>竞赛时间</w:t>
            </w:r>
          </w:p>
          <w:p w14:paraId="780BEE62">
            <w:pPr>
              <w:jc w:val="center"/>
              <w:rPr>
                <w:rFonts w:ascii="宋体" w:hAnsi="宋体"/>
                <w:b/>
                <w:sz w:val="24"/>
                <w:szCs w:val="24"/>
              </w:rPr>
            </w:pPr>
          </w:p>
        </w:tc>
        <w:tc>
          <w:tcPr>
            <w:tcW w:w="1172" w:type="pct"/>
            <w:tcBorders>
              <w:top w:val="single" w:color="auto" w:sz="12" w:space="0"/>
              <w:right w:val="single" w:color="auto" w:sz="4" w:space="0"/>
            </w:tcBorders>
            <w:vAlign w:val="center"/>
          </w:tcPr>
          <w:p w14:paraId="6317061C">
            <w:pPr>
              <w:jc w:val="center"/>
              <w:rPr>
                <w:rFonts w:ascii="宋体" w:hAnsi="宋体"/>
                <w:b/>
                <w:sz w:val="24"/>
                <w:szCs w:val="24"/>
              </w:rPr>
            </w:pPr>
            <w:r>
              <w:rPr>
                <w:rFonts w:hint="eastAsia" w:ascii="宋体" w:hAnsi="宋体"/>
                <w:b/>
                <w:sz w:val="24"/>
                <w:szCs w:val="24"/>
              </w:rPr>
              <w:t>分值</w:t>
            </w:r>
          </w:p>
        </w:tc>
      </w:tr>
      <w:tr w14:paraId="1980C04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6" w:hRule="atLeast"/>
        </w:trPr>
        <w:tc>
          <w:tcPr>
            <w:tcW w:w="680" w:type="pct"/>
            <w:tcBorders>
              <w:top w:val="single" w:color="auto" w:sz="6" w:space="0"/>
              <w:left w:val="single" w:color="auto" w:sz="4" w:space="0"/>
              <w:bottom w:val="single" w:color="auto" w:sz="6" w:space="0"/>
            </w:tcBorders>
            <w:vAlign w:val="center"/>
          </w:tcPr>
          <w:p w14:paraId="767C5030">
            <w:pPr>
              <w:jc w:val="center"/>
              <w:rPr>
                <w:rFonts w:ascii="仿宋_GB2312" w:hAnsi="仿宋" w:eastAsia="仿宋_GB2312"/>
                <w:sz w:val="24"/>
                <w:szCs w:val="21"/>
              </w:rPr>
            </w:pPr>
            <w:r>
              <w:rPr>
                <w:rFonts w:hint="eastAsia" w:ascii="仿宋_GB2312" w:hAnsi="仿宋" w:eastAsia="仿宋_GB2312"/>
                <w:sz w:val="24"/>
                <w:szCs w:val="21"/>
              </w:rPr>
              <w:t>模块一</w:t>
            </w:r>
          </w:p>
        </w:tc>
        <w:tc>
          <w:tcPr>
            <w:tcW w:w="2311" w:type="pct"/>
            <w:vAlign w:val="center"/>
          </w:tcPr>
          <w:p w14:paraId="3863569E">
            <w:pPr>
              <w:jc w:val="center"/>
              <w:rPr>
                <w:rFonts w:ascii="仿宋_GB2312" w:hAnsi="仿宋" w:eastAsia="仿宋_GB2312"/>
                <w:sz w:val="24"/>
                <w:szCs w:val="21"/>
              </w:rPr>
            </w:pPr>
            <w:r>
              <w:rPr>
                <w:rFonts w:hint="eastAsia" w:ascii="仿宋_GB2312" w:hAnsi="仿宋" w:eastAsia="仿宋_GB2312"/>
                <w:sz w:val="24"/>
                <w:szCs w:val="21"/>
                <w:lang w:eastAsia="zh-CN"/>
              </w:rPr>
              <w:t>机器人</w:t>
            </w:r>
            <w:r>
              <w:rPr>
                <w:rFonts w:hint="eastAsia" w:ascii="仿宋_GB2312" w:hAnsi="仿宋" w:eastAsia="仿宋_GB2312"/>
                <w:sz w:val="24"/>
                <w:szCs w:val="21"/>
                <w:lang w:val="en-US" w:eastAsia="zh-CN"/>
              </w:rPr>
              <w:t>图形化</w:t>
            </w:r>
            <w:r>
              <w:rPr>
                <w:rFonts w:hint="eastAsia" w:ascii="仿宋_GB2312" w:hAnsi="仿宋" w:eastAsia="仿宋_GB2312"/>
                <w:sz w:val="24"/>
                <w:szCs w:val="21"/>
                <w:lang w:eastAsia="zh-CN"/>
              </w:rPr>
              <w:t>程序设计与提交</w:t>
            </w:r>
          </w:p>
        </w:tc>
        <w:tc>
          <w:tcPr>
            <w:tcW w:w="836" w:type="pct"/>
            <w:vMerge w:val="restart"/>
            <w:vAlign w:val="center"/>
          </w:tcPr>
          <w:p w14:paraId="1470D475">
            <w:pPr>
              <w:jc w:val="center"/>
              <w:rPr>
                <w:rFonts w:hint="eastAsia" w:ascii="仿宋_GB2312" w:hAnsi="仿宋" w:eastAsia="仿宋_GB2312"/>
                <w:sz w:val="24"/>
                <w:szCs w:val="21"/>
                <w:lang w:val="en-US" w:eastAsia="zh-CN"/>
              </w:rPr>
            </w:pPr>
            <w:r>
              <w:rPr>
                <w:rFonts w:ascii="仿宋_GB2312" w:hAnsi="仿宋" w:eastAsia="仿宋_GB2312"/>
                <w:sz w:val="24"/>
                <w:szCs w:val="21"/>
              </w:rPr>
              <w:t>4</w:t>
            </w:r>
            <w:r>
              <w:rPr>
                <w:rFonts w:hint="eastAsia" w:ascii="仿宋_GB2312" w:hAnsi="仿宋" w:eastAsia="仿宋_GB2312"/>
                <w:sz w:val="24"/>
                <w:szCs w:val="21"/>
                <w:lang w:val="en-US" w:eastAsia="zh-CN"/>
              </w:rPr>
              <w:t>小时</w:t>
            </w:r>
          </w:p>
        </w:tc>
        <w:tc>
          <w:tcPr>
            <w:tcW w:w="1172" w:type="pct"/>
            <w:tcBorders>
              <w:top w:val="single" w:color="auto" w:sz="6" w:space="0"/>
              <w:bottom w:val="single" w:color="auto" w:sz="6" w:space="0"/>
              <w:right w:val="single" w:color="auto" w:sz="4" w:space="0"/>
            </w:tcBorders>
            <w:vAlign w:val="center"/>
          </w:tcPr>
          <w:p w14:paraId="45CB84A4">
            <w:pPr>
              <w:jc w:val="center"/>
              <w:rPr>
                <w:rFonts w:ascii="仿宋_GB2312" w:hAnsi="仿宋" w:eastAsia="仿宋_GB2312"/>
                <w:sz w:val="24"/>
                <w:szCs w:val="21"/>
              </w:rPr>
            </w:pPr>
            <w:r>
              <w:rPr>
                <w:rFonts w:ascii="仿宋_GB2312" w:hAnsi="仿宋" w:eastAsia="仿宋_GB2312"/>
                <w:sz w:val="24"/>
                <w:szCs w:val="21"/>
              </w:rPr>
              <w:t>40%</w:t>
            </w:r>
          </w:p>
        </w:tc>
      </w:tr>
      <w:tr w14:paraId="1D76C4A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680" w:type="pct"/>
            <w:tcBorders>
              <w:top w:val="single" w:color="auto" w:sz="6" w:space="0"/>
              <w:left w:val="single" w:color="auto" w:sz="4" w:space="0"/>
              <w:bottom w:val="single" w:color="auto" w:sz="6" w:space="0"/>
            </w:tcBorders>
            <w:vAlign w:val="center"/>
          </w:tcPr>
          <w:p w14:paraId="2FF4D872">
            <w:pPr>
              <w:jc w:val="center"/>
              <w:rPr>
                <w:rFonts w:ascii="仿宋_GB2312" w:hAnsi="仿宋" w:eastAsia="仿宋_GB2312"/>
                <w:sz w:val="24"/>
                <w:szCs w:val="21"/>
              </w:rPr>
            </w:pPr>
            <w:r>
              <w:rPr>
                <w:rFonts w:hint="eastAsia" w:ascii="仿宋_GB2312" w:hAnsi="仿宋" w:eastAsia="仿宋_GB2312"/>
                <w:sz w:val="24"/>
                <w:szCs w:val="21"/>
              </w:rPr>
              <w:t>模块二</w:t>
            </w:r>
          </w:p>
        </w:tc>
        <w:tc>
          <w:tcPr>
            <w:tcW w:w="2311" w:type="pct"/>
            <w:vAlign w:val="center"/>
          </w:tcPr>
          <w:p w14:paraId="5E8078E2">
            <w:pPr>
              <w:jc w:val="center"/>
              <w:rPr>
                <w:rFonts w:ascii="仿宋_GB2312" w:hAnsi="仿宋" w:eastAsia="仿宋_GB2312"/>
                <w:sz w:val="24"/>
                <w:szCs w:val="21"/>
              </w:rPr>
            </w:pPr>
            <w:r>
              <w:rPr>
                <w:rFonts w:hint="eastAsia" w:ascii="仿宋_GB2312" w:hAnsi="仿宋" w:eastAsia="仿宋_GB2312"/>
                <w:sz w:val="24"/>
                <w:szCs w:val="21"/>
                <w:lang w:eastAsia="zh-CN"/>
              </w:rPr>
              <w:t>机器人</w:t>
            </w:r>
            <w:r>
              <w:rPr>
                <w:rFonts w:hint="eastAsia" w:ascii="仿宋_GB2312" w:hAnsi="仿宋" w:eastAsia="仿宋_GB2312"/>
                <w:sz w:val="24"/>
                <w:szCs w:val="21"/>
                <w:lang w:val="en-US" w:eastAsia="zh-CN"/>
              </w:rPr>
              <w:t>编程</w:t>
            </w:r>
            <w:r>
              <w:rPr>
                <w:rFonts w:hint="eastAsia" w:ascii="仿宋_GB2312" w:hAnsi="仿宋" w:eastAsia="仿宋_GB2312"/>
                <w:sz w:val="24"/>
                <w:szCs w:val="21"/>
                <w:lang w:eastAsia="zh-CN"/>
              </w:rPr>
              <w:t>设计与提交</w:t>
            </w:r>
          </w:p>
        </w:tc>
        <w:tc>
          <w:tcPr>
            <w:tcW w:w="836" w:type="pct"/>
            <w:vMerge w:val="continue"/>
            <w:vAlign w:val="center"/>
          </w:tcPr>
          <w:p w14:paraId="6CD8E5D6">
            <w:pPr>
              <w:jc w:val="center"/>
              <w:rPr>
                <w:rFonts w:ascii="仿宋_GB2312" w:hAnsi="仿宋" w:eastAsia="仿宋_GB2312"/>
                <w:sz w:val="24"/>
                <w:szCs w:val="21"/>
              </w:rPr>
            </w:pPr>
          </w:p>
        </w:tc>
        <w:tc>
          <w:tcPr>
            <w:tcW w:w="1172" w:type="pct"/>
            <w:tcBorders>
              <w:top w:val="single" w:color="auto" w:sz="6" w:space="0"/>
              <w:bottom w:val="single" w:color="auto" w:sz="6" w:space="0"/>
              <w:right w:val="single" w:color="auto" w:sz="4" w:space="0"/>
            </w:tcBorders>
            <w:vAlign w:val="center"/>
          </w:tcPr>
          <w:p w14:paraId="2B3005C5">
            <w:pPr>
              <w:jc w:val="center"/>
              <w:rPr>
                <w:rFonts w:ascii="仿宋_GB2312" w:hAnsi="仿宋" w:eastAsia="仿宋_GB2312"/>
                <w:sz w:val="24"/>
                <w:szCs w:val="21"/>
              </w:rPr>
            </w:pPr>
            <w:r>
              <w:rPr>
                <w:rFonts w:hint="eastAsia" w:ascii="仿宋_GB2312" w:hAnsi="仿宋" w:eastAsia="仿宋_GB2312"/>
                <w:sz w:val="24"/>
                <w:szCs w:val="21"/>
                <w:lang w:val="en-US" w:eastAsia="zh-CN"/>
              </w:rPr>
              <w:t>40</w:t>
            </w:r>
            <w:r>
              <w:rPr>
                <w:rFonts w:ascii="仿宋_GB2312" w:hAnsi="仿宋" w:eastAsia="仿宋_GB2312"/>
                <w:sz w:val="24"/>
                <w:szCs w:val="21"/>
              </w:rPr>
              <w:t>%</w:t>
            </w:r>
          </w:p>
        </w:tc>
      </w:tr>
      <w:tr w14:paraId="4120FF7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680" w:type="pct"/>
            <w:tcBorders>
              <w:top w:val="single" w:color="auto" w:sz="6" w:space="0"/>
              <w:left w:val="single" w:color="auto" w:sz="4" w:space="0"/>
              <w:bottom w:val="single" w:color="auto" w:sz="6" w:space="0"/>
            </w:tcBorders>
            <w:vAlign w:val="center"/>
          </w:tcPr>
          <w:p w14:paraId="12488ADA">
            <w:pPr>
              <w:jc w:val="center"/>
              <w:rPr>
                <w:rFonts w:ascii="仿宋_GB2312" w:hAnsi="仿宋" w:eastAsia="仿宋_GB2312"/>
                <w:sz w:val="24"/>
                <w:szCs w:val="21"/>
              </w:rPr>
            </w:pPr>
            <w:r>
              <w:rPr>
                <w:rFonts w:hint="eastAsia" w:ascii="仿宋_GB2312" w:hAnsi="仿宋" w:eastAsia="仿宋_GB2312"/>
                <w:sz w:val="24"/>
                <w:szCs w:val="21"/>
              </w:rPr>
              <w:t>模块三</w:t>
            </w:r>
          </w:p>
        </w:tc>
        <w:tc>
          <w:tcPr>
            <w:tcW w:w="2311" w:type="pct"/>
            <w:vAlign w:val="center"/>
          </w:tcPr>
          <w:p w14:paraId="6FE58AF1">
            <w:pPr>
              <w:jc w:val="center"/>
              <w:rPr>
                <w:rFonts w:hint="eastAsia" w:ascii="仿宋_GB2312" w:hAnsi="仿宋" w:eastAsia="仿宋_GB2312"/>
                <w:sz w:val="24"/>
                <w:szCs w:val="21"/>
                <w:lang w:val="en-US" w:eastAsia="zh-CN"/>
              </w:rPr>
            </w:pPr>
            <w:r>
              <w:rPr>
                <w:rFonts w:hint="eastAsia" w:ascii="仿宋_GB2312" w:hAnsi="仿宋" w:eastAsia="仿宋_GB2312"/>
                <w:sz w:val="24"/>
                <w:szCs w:val="21"/>
                <w:lang w:eastAsia="zh-CN"/>
              </w:rPr>
              <w:t>机器人实机运行</w:t>
            </w:r>
            <w:r>
              <w:rPr>
                <w:rFonts w:hint="eastAsia" w:ascii="仿宋_GB2312" w:hAnsi="仿宋" w:eastAsia="仿宋_GB2312"/>
                <w:sz w:val="24"/>
                <w:szCs w:val="21"/>
                <w:lang w:val="en-US" w:eastAsia="zh-CN"/>
              </w:rPr>
              <w:t>验证与</w:t>
            </w:r>
            <w:r>
              <w:rPr>
                <w:rFonts w:hint="eastAsia" w:ascii="仿宋_GB2312" w:hAnsi="仿宋" w:eastAsia="仿宋_GB2312"/>
                <w:sz w:val="24"/>
                <w:szCs w:val="21"/>
              </w:rPr>
              <w:t>技术总结</w:t>
            </w:r>
            <w:r>
              <w:rPr>
                <w:rFonts w:hint="eastAsia" w:ascii="仿宋_GB2312" w:hAnsi="仿宋" w:eastAsia="仿宋_GB2312"/>
                <w:sz w:val="24"/>
                <w:szCs w:val="21"/>
                <w:lang w:val="en-US" w:eastAsia="zh-CN"/>
              </w:rPr>
              <w:t>展示</w:t>
            </w:r>
          </w:p>
        </w:tc>
        <w:tc>
          <w:tcPr>
            <w:tcW w:w="836" w:type="pct"/>
            <w:vAlign w:val="center"/>
          </w:tcPr>
          <w:p w14:paraId="37A0E02E">
            <w:pPr>
              <w:jc w:val="center"/>
              <w:rPr>
                <w:rFonts w:ascii="仿宋_GB2312" w:hAnsi="仿宋" w:eastAsia="仿宋_GB2312"/>
                <w:sz w:val="24"/>
                <w:szCs w:val="21"/>
              </w:rPr>
            </w:pPr>
            <w:r>
              <w:rPr>
                <w:rFonts w:hint="eastAsia" w:ascii="仿宋_GB2312" w:hAnsi="仿宋" w:eastAsia="仿宋_GB2312"/>
                <w:sz w:val="24"/>
                <w:szCs w:val="21"/>
                <w:lang w:val="en-US" w:eastAsia="zh-CN"/>
              </w:rPr>
              <w:t>15分钟</w:t>
            </w:r>
          </w:p>
        </w:tc>
        <w:tc>
          <w:tcPr>
            <w:tcW w:w="1172" w:type="pct"/>
            <w:tcBorders>
              <w:top w:val="single" w:color="auto" w:sz="6" w:space="0"/>
              <w:bottom w:val="single" w:color="auto" w:sz="6" w:space="0"/>
              <w:right w:val="single" w:color="auto" w:sz="4" w:space="0"/>
            </w:tcBorders>
            <w:vAlign w:val="center"/>
          </w:tcPr>
          <w:p w14:paraId="109E24BD">
            <w:pPr>
              <w:jc w:val="center"/>
              <w:rPr>
                <w:rFonts w:ascii="仿宋_GB2312" w:hAnsi="仿宋" w:eastAsia="仿宋_GB2312"/>
                <w:sz w:val="24"/>
                <w:szCs w:val="21"/>
              </w:rPr>
            </w:pPr>
            <w:r>
              <w:rPr>
                <w:rFonts w:hint="eastAsia" w:ascii="仿宋_GB2312" w:hAnsi="仿宋" w:eastAsia="仿宋_GB2312"/>
                <w:sz w:val="24"/>
                <w:szCs w:val="21"/>
                <w:lang w:val="en-US" w:eastAsia="zh-CN"/>
              </w:rPr>
              <w:t>20</w:t>
            </w:r>
            <w:r>
              <w:rPr>
                <w:rFonts w:ascii="仿宋_GB2312" w:hAnsi="仿宋" w:eastAsia="仿宋_GB2312"/>
                <w:sz w:val="24"/>
                <w:szCs w:val="21"/>
              </w:rPr>
              <w:t>%</w:t>
            </w:r>
          </w:p>
        </w:tc>
      </w:tr>
      <w:tr w14:paraId="0A85332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680" w:type="pct"/>
            <w:tcBorders>
              <w:top w:val="single" w:color="auto" w:sz="6" w:space="0"/>
              <w:left w:val="single" w:color="auto" w:sz="4" w:space="0"/>
              <w:bottom w:val="single" w:color="auto" w:sz="12" w:space="0"/>
            </w:tcBorders>
            <w:vAlign w:val="center"/>
          </w:tcPr>
          <w:p w14:paraId="34E52440">
            <w:pPr>
              <w:jc w:val="center"/>
              <w:rPr>
                <w:rFonts w:ascii="仿宋_GB2312" w:hAnsi="仿宋" w:eastAsia="仿宋_GB2312"/>
                <w:sz w:val="24"/>
                <w:szCs w:val="21"/>
              </w:rPr>
            </w:pPr>
            <w:r>
              <w:rPr>
                <w:rFonts w:hint="eastAsia" w:ascii="仿宋_GB2312" w:hAnsi="仿宋" w:eastAsia="仿宋_GB2312"/>
                <w:sz w:val="24"/>
                <w:szCs w:val="21"/>
              </w:rPr>
              <w:t>总计</w:t>
            </w:r>
          </w:p>
        </w:tc>
        <w:tc>
          <w:tcPr>
            <w:tcW w:w="2311" w:type="pct"/>
            <w:vAlign w:val="center"/>
          </w:tcPr>
          <w:p w14:paraId="274859E9">
            <w:pPr>
              <w:jc w:val="center"/>
              <w:rPr>
                <w:rFonts w:ascii="仿宋_GB2312" w:hAnsi="仿宋" w:eastAsia="仿宋_GB2312"/>
                <w:sz w:val="24"/>
                <w:szCs w:val="21"/>
              </w:rPr>
            </w:pPr>
          </w:p>
        </w:tc>
        <w:tc>
          <w:tcPr>
            <w:tcW w:w="836" w:type="pct"/>
            <w:vAlign w:val="center"/>
          </w:tcPr>
          <w:p w14:paraId="6177C8FC">
            <w:pPr>
              <w:jc w:val="center"/>
              <w:rPr>
                <w:rFonts w:hint="default" w:ascii="仿宋_GB2312" w:hAnsi="仿宋" w:eastAsia="仿宋_GB2312"/>
                <w:sz w:val="24"/>
                <w:szCs w:val="21"/>
                <w:lang w:val="en-US" w:eastAsia="zh-CN"/>
              </w:rPr>
            </w:pPr>
          </w:p>
        </w:tc>
        <w:tc>
          <w:tcPr>
            <w:tcW w:w="1172" w:type="pct"/>
            <w:tcBorders>
              <w:top w:val="single" w:color="auto" w:sz="6" w:space="0"/>
              <w:bottom w:val="single" w:color="auto" w:sz="12" w:space="0"/>
              <w:right w:val="single" w:color="auto" w:sz="4" w:space="0"/>
            </w:tcBorders>
            <w:vAlign w:val="center"/>
          </w:tcPr>
          <w:p w14:paraId="2DDBEDF1">
            <w:pPr>
              <w:jc w:val="center"/>
              <w:rPr>
                <w:rFonts w:ascii="仿宋_GB2312" w:hAnsi="仿宋" w:eastAsia="仿宋_GB2312"/>
                <w:sz w:val="24"/>
                <w:szCs w:val="21"/>
              </w:rPr>
            </w:pPr>
            <w:r>
              <w:rPr>
                <w:rFonts w:ascii="仿宋_GB2312" w:hAnsi="仿宋" w:eastAsia="仿宋_GB2312"/>
                <w:sz w:val="24"/>
                <w:szCs w:val="21"/>
              </w:rPr>
              <w:t>100%</w:t>
            </w:r>
          </w:p>
        </w:tc>
      </w:tr>
    </w:tbl>
    <w:p w14:paraId="5E364DF6">
      <w:pPr>
        <w:numPr>
          <w:ilvl w:val="0"/>
          <w:numId w:val="1"/>
        </w:numPr>
        <w:spacing w:line="360" w:lineRule="auto"/>
        <w:rPr>
          <w:rFonts w:hint="eastAsia" w:ascii="Arial Narrow" w:hAnsi="Arial Narrow" w:eastAsia="仿宋_GB2312" w:cs="宋体"/>
          <w:sz w:val="28"/>
          <w:szCs w:val="28"/>
        </w:rPr>
      </w:pPr>
      <w:r>
        <w:rPr>
          <w:rFonts w:hint="eastAsia" w:ascii="Arial Narrow" w:hAnsi="Arial Narrow" w:eastAsia="仿宋_GB2312" w:cs="宋体"/>
          <w:sz w:val="28"/>
          <w:szCs w:val="28"/>
        </w:rPr>
        <w:t>模块简述</w:t>
      </w:r>
    </w:p>
    <w:p w14:paraId="4A53A75C">
      <w:pPr>
        <w:widowControl w:val="0"/>
        <w:numPr>
          <w:ilvl w:val="0"/>
          <w:numId w:val="0"/>
        </w:numPr>
        <w:spacing w:line="360" w:lineRule="auto"/>
        <w:ind w:firstLine="420" w:firstLineChars="0"/>
        <w:jc w:val="both"/>
        <w:rPr>
          <w:rFonts w:hint="eastAsia" w:ascii="Arial Narrow" w:hAnsi="Arial Narrow" w:eastAsia="仿宋_GB2312" w:cs="宋体"/>
          <w:sz w:val="28"/>
          <w:szCs w:val="28"/>
        </w:rPr>
      </w:pPr>
      <w:r>
        <w:rPr>
          <w:rFonts w:hint="eastAsia" w:ascii="Arial Narrow" w:hAnsi="Arial Narrow" w:eastAsia="仿宋_GB2312" w:cs="宋体"/>
          <w:sz w:val="28"/>
          <w:szCs w:val="28"/>
        </w:rPr>
        <w:t>模块一：机器人程序设计与提交</w:t>
      </w:r>
    </w:p>
    <w:p w14:paraId="0715B6F1">
      <w:pPr>
        <w:widowControl w:val="0"/>
        <w:numPr>
          <w:ilvl w:val="0"/>
          <w:numId w:val="0"/>
        </w:numPr>
        <w:spacing w:line="360" w:lineRule="auto"/>
        <w:jc w:val="both"/>
        <w:rPr>
          <w:rFonts w:hint="eastAsia" w:ascii="Arial Narrow" w:hAnsi="Arial Narrow" w:eastAsia="仿宋_GB2312" w:cs="宋体"/>
          <w:sz w:val="28"/>
          <w:szCs w:val="28"/>
        </w:rPr>
      </w:pPr>
      <w:r>
        <w:rPr>
          <w:rFonts w:hint="eastAsia" w:ascii="Arial Narrow" w:hAnsi="Arial Narrow" w:eastAsia="仿宋_GB2312" w:cs="宋体"/>
          <w:sz w:val="28"/>
          <w:szCs w:val="28"/>
        </w:rPr>
        <w:t>包含有：任务分析与</w:t>
      </w:r>
      <w:r>
        <w:rPr>
          <w:rFonts w:hint="eastAsia" w:ascii="Arial Narrow" w:hAnsi="Arial Narrow" w:eastAsia="仿宋_GB2312" w:cs="宋体"/>
          <w:sz w:val="28"/>
          <w:szCs w:val="28"/>
          <w:lang w:val="en-US" w:eastAsia="zh-CN"/>
        </w:rPr>
        <w:t>图形化</w:t>
      </w:r>
      <w:r>
        <w:rPr>
          <w:rFonts w:hint="eastAsia" w:ascii="Arial Narrow" w:hAnsi="Arial Narrow" w:eastAsia="仿宋_GB2312" w:cs="宋体"/>
          <w:sz w:val="28"/>
          <w:szCs w:val="28"/>
        </w:rPr>
        <w:t>程序设计、</w:t>
      </w:r>
      <w:r>
        <w:rPr>
          <w:rFonts w:hint="eastAsia" w:ascii="Arial Narrow" w:hAnsi="Arial Narrow" w:eastAsia="仿宋_GB2312" w:cs="宋体"/>
          <w:sz w:val="28"/>
          <w:szCs w:val="28"/>
          <w:lang w:val="en-US" w:eastAsia="zh-CN"/>
        </w:rPr>
        <w:t>图形化</w:t>
      </w:r>
      <w:r>
        <w:rPr>
          <w:rFonts w:hint="eastAsia" w:ascii="Arial Narrow" w:hAnsi="Arial Narrow" w:eastAsia="仿宋_GB2312" w:cs="宋体"/>
          <w:sz w:val="28"/>
          <w:szCs w:val="28"/>
        </w:rPr>
        <w:t>程序编写与提交</w:t>
      </w:r>
      <w:r>
        <w:rPr>
          <w:rFonts w:hint="eastAsia" w:ascii="Arial Narrow" w:hAnsi="Arial Narrow" w:eastAsia="仿宋_GB2312" w:cs="宋体"/>
          <w:sz w:val="28"/>
          <w:szCs w:val="28"/>
          <w:lang w:val="en-US" w:eastAsia="zh-CN"/>
        </w:rPr>
        <w:t>等</w:t>
      </w:r>
      <w:r>
        <w:rPr>
          <w:rFonts w:hint="eastAsia" w:ascii="Arial Narrow" w:hAnsi="Arial Narrow" w:eastAsia="仿宋_GB2312" w:cs="宋体"/>
          <w:sz w:val="28"/>
          <w:szCs w:val="28"/>
        </w:rPr>
        <w:t>任务，分值占比40%。</w:t>
      </w:r>
    </w:p>
    <w:p w14:paraId="6C1B494E">
      <w:pPr>
        <w:widowControl w:val="0"/>
        <w:numPr>
          <w:ilvl w:val="0"/>
          <w:numId w:val="0"/>
        </w:numPr>
        <w:spacing w:line="360" w:lineRule="auto"/>
        <w:ind w:firstLine="420" w:firstLineChars="0"/>
        <w:jc w:val="both"/>
        <w:rPr>
          <w:rFonts w:hint="eastAsia" w:ascii="Arial Narrow" w:hAnsi="Arial Narrow" w:eastAsia="仿宋_GB2312" w:cs="宋体"/>
          <w:sz w:val="28"/>
          <w:szCs w:val="28"/>
        </w:rPr>
      </w:pPr>
      <w:r>
        <w:rPr>
          <w:rFonts w:hint="eastAsia" w:ascii="Arial Narrow" w:hAnsi="Arial Narrow" w:eastAsia="仿宋_GB2312" w:cs="宋体"/>
          <w:sz w:val="28"/>
          <w:szCs w:val="28"/>
        </w:rPr>
        <w:t>模块二：</w:t>
      </w:r>
      <w:r>
        <w:rPr>
          <w:rFonts w:hint="eastAsia" w:ascii="Arial Narrow" w:hAnsi="Arial Narrow" w:eastAsia="仿宋_GB2312" w:cs="宋体"/>
          <w:sz w:val="28"/>
          <w:szCs w:val="28"/>
          <w:lang w:eastAsia="zh-CN"/>
        </w:rPr>
        <w:t>机器人</w:t>
      </w:r>
      <w:r>
        <w:rPr>
          <w:rFonts w:hint="eastAsia" w:ascii="Arial Narrow" w:hAnsi="Arial Narrow" w:eastAsia="仿宋_GB2312" w:cs="宋体"/>
          <w:sz w:val="28"/>
          <w:szCs w:val="28"/>
          <w:lang w:val="en-US" w:eastAsia="zh-CN"/>
        </w:rPr>
        <w:t>编程</w:t>
      </w:r>
      <w:r>
        <w:rPr>
          <w:rFonts w:hint="eastAsia" w:ascii="Arial Narrow" w:hAnsi="Arial Narrow" w:eastAsia="仿宋_GB2312" w:cs="宋体"/>
          <w:sz w:val="28"/>
          <w:szCs w:val="28"/>
          <w:lang w:eastAsia="zh-CN"/>
        </w:rPr>
        <w:t>设计与提交</w:t>
      </w:r>
    </w:p>
    <w:p w14:paraId="6EB6E9F5">
      <w:pPr>
        <w:widowControl w:val="0"/>
        <w:numPr>
          <w:ilvl w:val="0"/>
          <w:numId w:val="0"/>
        </w:numPr>
        <w:spacing w:line="360" w:lineRule="auto"/>
        <w:jc w:val="both"/>
        <w:rPr>
          <w:rFonts w:hint="eastAsia" w:ascii="Arial Narrow" w:hAnsi="Arial Narrow" w:eastAsia="仿宋_GB2312" w:cs="宋体"/>
          <w:sz w:val="28"/>
          <w:szCs w:val="28"/>
        </w:rPr>
      </w:pPr>
      <w:r>
        <w:rPr>
          <w:rFonts w:hint="eastAsia" w:ascii="Arial Narrow" w:hAnsi="Arial Narrow" w:eastAsia="仿宋_GB2312" w:cs="宋体"/>
          <w:sz w:val="28"/>
          <w:szCs w:val="28"/>
        </w:rPr>
        <w:t>包含有：</w:t>
      </w:r>
      <w:r>
        <w:rPr>
          <w:rFonts w:hint="eastAsia" w:ascii="Arial Narrow" w:hAnsi="Arial Narrow" w:eastAsia="仿宋_GB2312" w:cs="宋体"/>
          <w:sz w:val="28"/>
          <w:szCs w:val="28"/>
          <w:lang w:val="en-US" w:eastAsia="zh-CN"/>
        </w:rPr>
        <w:t>任务分析</w:t>
      </w:r>
      <w:r>
        <w:rPr>
          <w:rFonts w:hint="eastAsia" w:ascii="Arial Narrow" w:hAnsi="Arial Narrow" w:eastAsia="仿宋_GB2312" w:cs="宋体"/>
          <w:sz w:val="28"/>
          <w:szCs w:val="28"/>
        </w:rPr>
        <w:t>程序</w:t>
      </w:r>
      <w:r>
        <w:rPr>
          <w:rFonts w:hint="eastAsia" w:ascii="Arial Narrow" w:hAnsi="Arial Narrow" w:eastAsia="仿宋_GB2312" w:cs="宋体"/>
          <w:sz w:val="28"/>
          <w:szCs w:val="28"/>
          <w:lang w:val="en-US" w:eastAsia="zh-CN"/>
        </w:rPr>
        <w:t>代设计、编程与</w:t>
      </w:r>
      <w:r>
        <w:rPr>
          <w:rFonts w:hint="eastAsia" w:ascii="Arial Narrow" w:hAnsi="Arial Narrow" w:eastAsia="仿宋_GB2312" w:cs="宋体"/>
          <w:sz w:val="28"/>
          <w:szCs w:val="28"/>
        </w:rPr>
        <w:t>优化</w:t>
      </w:r>
      <w:r>
        <w:rPr>
          <w:rFonts w:hint="eastAsia" w:ascii="Arial Narrow" w:hAnsi="Arial Narrow" w:eastAsia="仿宋_GB2312" w:cs="宋体"/>
          <w:sz w:val="28"/>
          <w:szCs w:val="28"/>
          <w:lang w:val="en-US" w:eastAsia="zh-CN"/>
        </w:rPr>
        <w:t>等</w:t>
      </w:r>
      <w:r>
        <w:rPr>
          <w:rFonts w:hint="eastAsia" w:ascii="Arial Narrow" w:hAnsi="Arial Narrow" w:eastAsia="仿宋_GB2312" w:cs="宋体"/>
          <w:sz w:val="28"/>
          <w:szCs w:val="28"/>
        </w:rPr>
        <w:t>任务，分值占比40%。</w:t>
      </w:r>
    </w:p>
    <w:p w14:paraId="2F80501B">
      <w:pPr>
        <w:widowControl w:val="0"/>
        <w:numPr>
          <w:ilvl w:val="0"/>
          <w:numId w:val="0"/>
        </w:numPr>
        <w:spacing w:line="360" w:lineRule="auto"/>
        <w:ind w:firstLine="420" w:firstLineChars="0"/>
        <w:jc w:val="both"/>
        <w:rPr>
          <w:rFonts w:hint="eastAsia" w:ascii="Arial Narrow" w:hAnsi="Arial Narrow" w:eastAsia="仿宋_GB2312" w:cs="宋体"/>
          <w:sz w:val="28"/>
          <w:szCs w:val="28"/>
        </w:rPr>
      </w:pPr>
      <w:r>
        <w:rPr>
          <w:rFonts w:hint="eastAsia" w:ascii="Arial Narrow" w:hAnsi="Arial Narrow" w:eastAsia="仿宋_GB2312" w:cs="宋体"/>
          <w:sz w:val="28"/>
          <w:szCs w:val="28"/>
        </w:rPr>
        <w:t>模块三：</w:t>
      </w:r>
      <w:r>
        <w:rPr>
          <w:rFonts w:hint="eastAsia" w:ascii="Arial Narrow" w:hAnsi="Arial Narrow" w:eastAsia="仿宋_GB2312" w:cs="宋体"/>
          <w:sz w:val="28"/>
          <w:szCs w:val="28"/>
          <w:lang w:eastAsia="zh-CN"/>
        </w:rPr>
        <w:t>机器人实机运行</w:t>
      </w:r>
      <w:r>
        <w:rPr>
          <w:rFonts w:hint="eastAsia" w:ascii="Arial Narrow" w:hAnsi="Arial Narrow" w:eastAsia="仿宋_GB2312" w:cs="宋体"/>
          <w:sz w:val="28"/>
          <w:szCs w:val="28"/>
          <w:lang w:val="en-US" w:eastAsia="zh-CN"/>
        </w:rPr>
        <w:t>验证与</w:t>
      </w:r>
      <w:r>
        <w:rPr>
          <w:rFonts w:hint="eastAsia" w:ascii="Arial Narrow" w:hAnsi="Arial Narrow" w:eastAsia="仿宋_GB2312" w:cs="宋体"/>
          <w:sz w:val="28"/>
          <w:szCs w:val="28"/>
        </w:rPr>
        <w:t>技术总结</w:t>
      </w:r>
      <w:r>
        <w:rPr>
          <w:rFonts w:hint="eastAsia" w:ascii="Arial Narrow" w:hAnsi="Arial Narrow" w:eastAsia="仿宋_GB2312" w:cs="宋体"/>
          <w:sz w:val="28"/>
          <w:szCs w:val="28"/>
          <w:lang w:val="en-US" w:eastAsia="zh-CN"/>
        </w:rPr>
        <w:t>展示</w:t>
      </w:r>
    </w:p>
    <w:p w14:paraId="7D8A3E00">
      <w:pPr>
        <w:widowControl w:val="0"/>
        <w:numPr>
          <w:ilvl w:val="0"/>
          <w:numId w:val="0"/>
        </w:numPr>
        <w:spacing w:line="360" w:lineRule="auto"/>
        <w:jc w:val="both"/>
        <w:rPr>
          <w:rFonts w:hint="eastAsia" w:ascii="Arial Narrow" w:hAnsi="Arial Narrow" w:eastAsia="仿宋_GB2312" w:cs="宋体"/>
          <w:sz w:val="28"/>
          <w:szCs w:val="28"/>
        </w:rPr>
      </w:pPr>
      <w:r>
        <w:rPr>
          <w:rFonts w:hint="eastAsia" w:ascii="Arial Narrow" w:hAnsi="Arial Narrow" w:eastAsia="仿宋_GB2312" w:cs="宋体"/>
          <w:sz w:val="28"/>
          <w:szCs w:val="28"/>
        </w:rPr>
        <w:t>包含有：</w:t>
      </w:r>
      <w:r>
        <w:rPr>
          <w:rFonts w:hint="eastAsia" w:ascii="Arial Narrow" w:hAnsi="Arial Narrow" w:eastAsia="仿宋_GB2312" w:cs="宋体"/>
          <w:sz w:val="28"/>
          <w:szCs w:val="28"/>
          <w:lang w:val="en-US" w:eastAsia="zh-CN"/>
        </w:rPr>
        <w:t>程序下载真机运行、</w:t>
      </w:r>
      <w:r>
        <w:rPr>
          <w:rFonts w:hint="eastAsia" w:ascii="Arial Narrow" w:hAnsi="Arial Narrow" w:eastAsia="仿宋_GB2312" w:cs="宋体"/>
          <w:sz w:val="28"/>
          <w:szCs w:val="28"/>
        </w:rPr>
        <w:t>技术报告、现场</w:t>
      </w:r>
      <w:r>
        <w:rPr>
          <w:rFonts w:hint="eastAsia" w:ascii="Arial Narrow" w:hAnsi="Arial Narrow" w:eastAsia="仿宋_GB2312" w:cs="宋体"/>
          <w:sz w:val="28"/>
          <w:szCs w:val="28"/>
          <w:lang w:val="en-US" w:eastAsia="zh-CN"/>
        </w:rPr>
        <w:t>展示等</w:t>
      </w:r>
      <w:r>
        <w:rPr>
          <w:rFonts w:hint="eastAsia" w:ascii="Arial Narrow" w:hAnsi="Arial Narrow" w:eastAsia="仿宋_GB2312" w:cs="宋体"/>
          <w:sz w:val="28"/>
          <w:szCs w:val="28"/>
        </w:rPr>
        <w:t>任务，分值占比20%。</w:t>
      </w:r>
    </w:p>
    <w:bookmarkEnd w:id="3"/>
    <w:p w14:paraId="357AABCA">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四、竞赛方式</w:t>
      </w:r>
    </w:p>
    <w:p w14:paraId="2834295F">
      <w:pPr>
        <w:spacing w:before="92" w:line="360" w:lineRule="auto"/>
        <w:ind w:right="337"/>
        <w:rPr>
          <w:rFonts w:ascii="仿宋" w:hAnsi="仿宋" w:eastAsia="仿宋" w:cs="仿宋"/>
          <w:spacing w:val="-3"/>
          <w:sz w:val="28"/>
          <w:szCs w:val="28"/>
        </w:rPr>
      </w:pPr>
      <w:r>
        <w:rPr>
          <w:rFonts w:ascii="仿宋" w:hAnsi="仿宋" w:eastAsia="仿宋" w:cs="仿宋"/>
          <w:spacing w:val="-3"/>
          <w:sz w:val="28"/>
          <w:szCs w:val="28"/>
        </w:rPr>
        <w:t>1. 竞赛形式：线下比赛。</w:t>
      </w:r>
    </w:p>
    <w:p w14:paraId="59F14237">
      <w:pPr>
        <w:spacing w:before="92" w:line="360" w:lineRule="auto"/>
        <w:ind w:right="337"/>
        <w:rPr>
          <w:rFonts w:ascii="仿宋" w:hAnsi="仿宋" w:eastAsia="仿宋" w:cs="仿宋"/>
          <w:spacing w:val="-3"/>
          <w:sz w:val="28"/>
          <w:szCs w:val="28"/>
        </w:rPr>
      </w:pPr>
      <w:r>
        <w:rPr>
          <w:rFonts w:ascii="仿宋" w:hAnsi="仿宋" w:eastAsia="仿宋" w:cs="仿宋"/>
          <w:spacing w:val="-3"/>
          <w:sz w:val="28"/>
          <w:szCs w:val="28"/>
        </w:rPr>
        <w:t>2．竞赛组队方式：</w:t>
      </w:r>
      <w:r>
        <w:rPr>
          <w:rFonts w:hint="eastAsia" w:ascii="仿宋" w:hAnsi="仿宋" w:eastAsia="仿宋" w:cs="仿宋"/>
          <w:spacing w:val="-3"/>
          <w:sz w:val="28"/>
          <w:szCs w:val="28"/>
          <w:lang w:val="en-US" w:eastAsia="zh-CN"/>
        </w:rPr>
        <w:t>3</w:t>
      </w:r>
      <w:bookmarkStart w:id="5" w:name="_GoBack"/>
      <w:bookmarkEnd w:id="5"/>
      <w:r>
        <w:rPr>
          <w:rFonts w:ascii="仿宋" w:hAnsi="仿宋" w:eastAsia="仿宋" w:cs="仿宋"/>
          <w:spacing w:val="-3"/>
          <w:sz w:val="28"/>
          <w:szCs w:val="28"/>
        </w:rPr>
        <w:t>人/队。性别不限， 不得跨校组队，2 名选手须为同校教师和学生。学生选手须为高等职业学校专科、高等职业学校全日制在籍学生（以报名时的学籍信息为准）。</w:t>
      </w:r>
    </w:p>
    <w:p w14:paraId="4A13FFD8">
      <w:pPr>
        <w:spacing w:before="92" w:line="360" w:lineRule="auto"/>
        <w:ind w:right="337"/>
        <w:rPr>
          <w:rFonts w:ascii="仿宋" w:hAnsi="仿宋" w:eastAsia="仿宋" w:cs="仿宋"/>
          <w:spacing w:val="-3"/>
          <w:sz w:val="28"/>
          <w:szCs w:val="28"/>
        </w:rPr>
      </w:pPr>
      <w:r>
        <w:rPr>
          <w:rFonts w:hint="eastAsia" w:ascii="仿宋" w:hAnsi="仿宋" w:eastAsia="仿宋" w:cs="仿宋"/>
          <w:spacing w:val="-3"/>
          <w:sz w:val="28"/>
          <w:szCs w:val="28"/>
          <w:lang w:val="en-US" w:eastAsia="zh-CN"/>
        </w:rPr>
        <w:t>3</w:t>
      </w:r>
      <w:r>
        <w:rPr>
          <w:rFonts w:ascii="仿宋" w:hAnsi="仿宋" w:eastAsia="仿宋" w:cs="仿宋"/>
          <w:spacing w:val="-3"/>
          <w:sz w:val="28"/>
          <w:szCs w:val="28"/>
        </w:rPr>
        <w:t>．竞赛采用团体赛方式，不计选手个人成绩，统计参赛队的总成绩进行排序，选手在大赛现场按照大赛任务要求，自行分工</w:t>
      </w:r>
      <w:r>
        <w:rPr>
          <w:rFonts w:hint="eastAsia" w:ascii="仿宋" w:hAnsi="仿宋" w:eastAsia="仿宋" w:cs="仿宋"/>
          <w:spacing w:val="-3"/>
          <w:sz w:val="28"/>
          <w:szCs w:val="28"/>
        </w:rPr>
        <w:t>，</w:t>
      </w:r>
      <w:r>
        <w:rPr>
          <w:rFonts w:ascii="仿宋" w:hAnsi="仿宋" w:eastAsia="仿宋" w:cs="仿宋"/>
          <w:spacing w:val="-3"/>
          <w:sz w:val="28"/>
          <w:szCs w:val="28"/>
        </w:rPr>
        <w:t>相互配合完成大赛任务。</w:t>
      </w:r>
    </w:p>
    <w:p w14:paraId="6EECCC2D">
      <w:pPr>
        <w:spacing w:before="92" w:line="360" w:lineRule="auto"/>
        <w:ind w:right="337"/>
        <w:rPr>
          <w:rFonts w:ascii="仿宋" w:hAnsi="仿宋" w:eastAsia="仿宋" w:cs="仿宋"/>
          <w:spacing w:val="-3"/>
          <w:sz w:val="28"/>
          <w:szCs w:val="28"/>
        </w:rPr>
      </w:pPr>
      <w:r>
        <w:rPr>
          <w:rFonts w:ascii="仿宋" w:hAnsi="仿宋" w:eastAsia="仿宋" w:cs="仿宋"/>
          <w:spacing w:val="-3"/>
          <w:sz w:val="28"/>
          <w:szCs w:val="28"/>
        </w:rPr>
        <w:t>5．凡在往届全国职业院校技能大赛中获一等奖的选手，不能再参加今年同一专业类赛项的比赛。参赛选手的资格审查工作按照《全国职业院校技能大赛制度汇编》要求执行。</w:t>
      </w:r>
    </w:p>
    <w:p w14:paraId="4364A97A">
      <w:pPr>
        <w:pStyle w:val="2"/>
        <w:spacing w:after="0"/>
        <w:rPr>
          <w:rFonts w:ascii="Arial Narrow" w:hAnsi="Arial Narrow" w:eastAsia="仿宋_GB2312"/>
          <w:bCs w:val="0"/>
          <w:kern w:val="2"/>
          <w:sz w:val="30"/>
          <w:szCs w:val="30"/>
        </w:rPr>
      </w:pPr>
      <w:r>
        <w:rPr>
          <w:rFonts w:hint="eastAsia" w:ascii="Arial Narrow" w:hAnsi="Arial Narrow" w:eastAsia="仿宋_GB2312"/>
          <w:bCs w:val="0"/>
          <w:kern w:val="2"/>
          <w:sz w:val="30"/>
          <w:szCs w:val="30"/>
        </w:rPr>
        <w:t>五、竞赛流程</w:t>
      </w:r>
    </w:p>
    <w:p w14:paraId="7B23172A">
      <w:pPr>
        <w:snapToGrid w:val="0"/>
        <w:spacing w:line="560" w:lineRule="exact"/>
        <w:outlineLvl w:val="0"/>
        <w:rPr>
          <w:rFonts w:ascii="仿宋" w:hAnsi="仿宋" w:eastAsia="仿宋" w:cs="仿宋"/>
          <w:spacing w:val="-3"/>
          <w:sz w:val="28"/>
          <w:szCs w:val="28"/>
        </w:rPr>
      </w:pPr>
      <w:r>
        <w:rPr>
          <w:rFonts w:hint="eastAsia" w:ascii="仿宋" w:hAnsi="仿宋" w:eastAsia="仿宋" w:cs="仿宋"/>
          <w:spacing w:val="-3"/>
          <w:sz w:val="28"/>
          <w:szCs w:val="28"/>
        </w:rPr>
        <w:t>（一</w:t>
      </w:r>
      <w:r>
        <w:rPr>
          <w:rFonts w:ascii="仿宋" w:hAnsi="仿宋" w:eastAsia="仿宋" w:cs="仿宋"/>
          <w:spacing w:val="-3"/>
          <w:sz w:val="28"/>
          <w:szCs w:val="28"/>
        </w:rPr>
        <w:t>）竞赛</w:t>
      </w:r>
      <w:r>
        <w:rPr>
          <w:rFonts w:hint="eastAsia" w:ascii="仿宋" w:hAnsi="仿宋" w:eastAsia="仿宋" w:cs="仿宋"/>
          <w:spacing w:val="-3"/>
          <w:sz w:val="28"/>
          <w:szCs w:val="28"/>
        </w:rPr>
        <w:t>流程</w:t>
      </w:r>
      <w:r>
        <w:rPr>
          <w:rFonts w:ascii="仿宋" w:hAnsi="仿宋" w:eastAsia="仿宋" w:cs="仿宋"/>
          <w:spacing w:val="-3"/>
          <w:sz w:val="28"/>
          <w:szCs w:val="28"/>
        </w:rPr>
        <w:t>图</w:t>
      </w:r>
    </w:p>
    <w:p w14:paraId="4EFDE9C4">
      <w:pPr>
        <w:jc w:val="center"/>
        <w:rPr>
          <w:rFonts w:ascii="宋体" w:cs="宋体"/>
          <w:kern w:val="0"/>
          <w:sz w:val="18"/>
          <w:szCs w:val="18"/>
          <w:lang w:val="zh-CN"/>
        </w:rPr>
      </w:pPr>
      <w:r>
        <w:rPr>
          <w:rFonts w:ascii="宋体" w:cs="宋体"/>
          <w:kern w:val="0"/>
          <w:sz w:val="18"/>
          <w:szCs w:val="18"/>
        </w:rPr>
        <w:drawing>
          <wp:inline distT="0" distB="0" distL="0" distR="0">
            <wp:extent cx="4089400" cy="4277995"/>
            <wp:effectExtent l="0" t="0" r="6350" b="8255"/>
            <wp:docPr id="1" name="图片 1" descr="b308eaab5b86048358d522726baad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308eaab5b86048358d522726baad0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104706" cy="4294594"/>
                    </a:xfrm>
                    <a:prstGeom prst="rect">
                      <a:avLst/>
                    </a:prstGeom>
                    <a:noFill/>
                    <a:ln>
                      <a:noFill/>
                    </a:ln>
                  </pic:spPr>
                </pic:pic>
              </a:graphicData>
            </a:graphic>
          </wp:inline>
        </w:drawing>
      </w:r>
    </w:p>
    <w:p w14:paraId="7EA83F02">
      <w:pPr>
        <w:rPr>
          <w:rFonts w:ascii="宋体" w:cs="宋体"/>
          <w:kern w:val="0"/>
          <w:sz w:val="18"/>
          <w:szCs w:val="18"/>
          <w:lang w:val="zh-CN"/>
        </w:rPr>
      </w:pPr>
    </w:p>
    <w:p w14:paraId="4CF7875A">
      <w:pPr>
        <w:rPr>
          <w:rFonts w:ascii="宋体" w:cs="宋体"/>
          <w:kern w:val="0"/>
          <w:sz w:val="18"/>
          <w:szCs w:val="18"/>
          <w:lang w:val="zh-CN"/>
        </w:rPr>
      </w:pPr>
    </w:p>
    <w:p w14:paraId="3F5FFA24">
      <w:pPr>
        <w:rPr>
          <w:rFonts w:ascii="宋体" w:cs="宋体"/>
          <w:kern w:val="0"/>
          <w:sz w:val="18"/>
          <w:szCs w:val="18"/>
          <w:lang w:val="zh-CN"/>
        </w:rPr>
      </w:pPr>
    </w:p>
    <w:p w14:paraId="0365AA2C">
      <w:pPr>
        <w:rPr>
          <w:rFonts w:hint="eastAsia" w:ascii="宋体" w:cs="宋体"/>
          <w:kern w:val="0"/>
          <w:sz w:val="18"/>
          <w:szCs w:val="18"/>
          <w:lang w:val="zh-CN"/>
        </w:rPr>
      </w:pPr>
    </w:p>
    <w:p w14:paraId="6AC6AB24">
      <w:pPr>
        <w:snapToGrid w:val="0"/>
        <w:spacing w:line="560" w:lineRule="exact"/>
        <w:outlineLvl w:val="0"/>
        <w:rPr>
          <w:rFonts w:ascii="Arial Narrow" w:hAnsi="Arial Narrow" w:eastAsia="仿宋_GB2312" w:cs="Arial"/>
          <w:sz w:val="28"/>
          <w:szCs w:val="30"/>
        </w:rPr>
      </w:pPr>
      <w:r>
        <w:rPr>
          <w:rFonts w:hint="eastAsia" w:ascii="Arial Narrow" w:hAnsi="Arial Narrow" w:eastAsia="仿宋_GB2312" w:cs="Arial"/>
          <w:sz w:val="28"/>
          <w:szCs w:val="30"/>
        </w:rPr>
        <w:t>（</w:t>
      </w:r>
      <w:r>
        <w:rPr>
          <w:rFonts w:ascii="Arial Narrow" w:hAnsi="Arial Narrow" w:eastAsia="仿宋_GB2312" w:cs="Arial"/>
          <w:sz w:val="28"/>
          <w:szCs w:val="30"/>
        </w:rPr>
        <w:t>二）竞赛时间安排表</w:t>
      </w:r>
    </w:p>
    <w:tbl>
      <w:tblPr>
        <w:tblStyle w:val="10"/>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53"/>
        <w:gridCol w:w="1553"/>
        <w:gridCol w:w="1667"/>
        <w:gridCol w:w="3749"/>
      </w:tblGrid>
      <w:tr w14:paraId="7B32B6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1" w:type="pct"/>
            <w:vAlign w:val="center"/>
          </w:tcPr>
          <w:p w14:paraId="275D1337">
            <w:pPr>
              <w:adjustRightInd w:val="0"/>
              <w:snapToGrid w:val="0"/>
              <w:jc w:val="center"/>
              <w:rPr>
                <w:rFonts w:ascii="仿宋_GB2312" w:hAnsi="宋体" w:eastAsia="仿宋_GB2312"/>
                <w:b/>
                <w:sz w:val="24"/>
              </w:rPr>
            </w:pPr>
            <w:r>
              <w:rPr>
                <w:rFonts w:hint="eastAsia" w:ascii="仿宋_GB2312" w:hAnsi="宋体" w:eastAsia="仿宋_GB2312"/>
                <w:b/>
                <w:sz w:val="24"/>
              </w:rPr>
              <w:t>日程</w:t>
            </w:r>
          </w:p>
        </w:tc>
        <w:tc>
          <w:tcPr>
            <w:tcW w:w="911" w:type="pct"/>
            <w:vAlign w:val="center"/>
          </w:tcPr>
          <w:p w14:paraId="50EE9C26">
            <w:pPr>
              <w:adjustRightInd w:val="0"/>
              <w:snapToGrid w:val="0"/>
              <w:jc w:val="center"/>
              <w:rPr>
                <w:rFonts w:ascii="仿宋_GB2312" w:eastAsia="仿宋_GB2312"/>
                <w:b/>
                <w:sz w:val="24"/>
              </w:rPr>
            </w:pPr>
            <w:r>
              <w:rPr>
                <w:rFonts w:hint="eastAsia" w:ascii="仿宋_GB2312" w:hAnsi="宋体" w:eastAsia="仿宋_GB2312"/>
                <w:b/>
                <w:sz w:val="24"/>
              </w:rPr>
              <w:t>时间</w:t>
            </w:r>
          </w:p>
        </w:tc>
        <w:tc>
          <w:tcPr>
            <w:tcW w:w="978" w:type="pct"/>
            <w:vAlign w:val="center"/>
          </w:tcPr>
          <w:p w14:paraId="34D49E7D">
            <w:pPr>
              <w:adjustRightInd w:val="0"/>
              <w:snapToGrid w:val="0"/>
              <w:jc w:val="center"/>
              <w:rPr>
                <w:rFonts w:ascii="仿宋_GB2312" w:eastAsia="仿宋_GB2312"/>
                <w:b/>
                <w:sz w:val="24"/>
              </w:rPr>
            </w:pPr>
            <w:r>
              <w:rPr>
                <w:rFonts w:hint="eastAsia" w:ascii="仿宋_GB2312" w:hAnsi="宋体" w:eastAsia="仿宋_GB2312"/>
                <w:b/>
                <w:sz w:val="24"/>
              </w:rPr>
              <w:t>竞赛环节</w:t>
            </w:r>
          </w:p>
        </w:tc>
        <w:tc>
          <w:tcPr>
            <w:tcW w:w="2198" w:type="pct"/>
            <w:vAlign w:val="center"/>
          </w:tcPr>
          <w:p w14:paraId="3AB1A3FA">
            <w:pPr>
              <w:adjustRightInd w:val="0"/>
              <w:snapToGrid w:val="0"/>
              <w:jc w:val="center"/>
              <w:rPr>
                <w:rFonts w:ascii="仿宋_GB2312" w:eastAsia="仿宋_GB2312"/>
                <w:b/>
                <w:sz w:val="24"/>
              </w:rPr>
            </w:pPr>
            <w:r>
              <w:rPr>
                <w:rFonts w:hint="eastAsia" w:ascii="仿宋_GB2312" w:hAnsi="宋体" w:eastAsia="仿宋_GB2312"/>
                <w:b/>
                <w:sz w:val="24"/>
              </w:rPr>
              <w:t>说       明</w:t>
            </w:r>
          </w:p>
        </w:tc>
      </w:tr>
      <w:tr w14:paraId="4682E2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restart"/>
            <w:vAlign w:val="center"/>
          </w:tcPr>
          <w:p w14:paraId="6F0E036E">
            <w:pPr>
              <w:adjustRightInd w:val="0"/>
              <w:snapToGrid w:val="0"/>
              <w:ind w:left="-105" w:leftChars="-50" w:right="-105" w:rightChars="-50"/>
              <w:jc w:val="center"/>
              <w:rPr>
                <w:rFonts w:ascii="仿宋_GB2312" w:hAnsi="仿宋" w:eastAsia="仿宋_GB2312"/>
                <w:sz w:val="24"/>
              </w:rPr>
            </w:pPr>
            <w:r>
              <w:rPr>
                <w:rFonts w:hint="eastAsia" w:ascii="仿宋_GB2312" w:hAnsi="仿宋" w:eastAsia="仿宋_GB2312"/>
                <w:sz w:val="24"/>
              </w:rPr>
              <w:t>比赛日</w:t>
            </w:r>
          </w:p>
        </w:tc>
        <w:tc>
          <w:tcPr>
            <w:tcW w:w="911" w:type="pct"/>
            <w:vAlign w:val="center"/>
          </w:tcPr>
          <w:p w14:paraId="73A7A652">
            <w:pPr>
              <w:adjustRightInd w:val="0"/>
              <w:snapToGrid w:val="0"/>
              <w:ind w:left="-105" w:leftChars="-50" w:right="-105" w:rightChars="-50"/>
              <w:jc w:val="center"/>
              <w:rPr>
                <w:rFonts w:ascii="仿宋_GB2312" w:hAnsi="仿宋" w:eastAsia="仿宋_GB2312"/>
                <w:sz w:val="24"/>
              </w:rPr>
            </w:pPr>
            <w:r>
              <w:rPr>
                <w:rFonts w:hint="eastAsia" w:ascii="仿宋_GB2312" w:hAnsi="仿宋" w:eastAsia="仿宋_GB2312"/>
                <w:sz w:val="24"/>
              </w:rPr>
              <w:t>07:</w:t>
            </w:r>
            <w:r>
              <w:rPr>
                <w:rFonts w:ascii="仿宋_GB2312" w:hAnsi="仿宋" w:eastAsia="仿宋_GB2312"/>
                <w:sz w:val="24"/>
              </w:rPr>
              <w:t>0</w:t>
            </w:r>
            <w:r>
              <w:rPr>
                <w:rFonts w:hint="eastAsia" w:ascii="仿宋_GB2312" w:hAnsi="仿宋" w:eastAsia="仿宋_GB2312"/>
                <w:sz w:val="24"/>
              </w:rPr>
              <w:t>0</w:t>
            </w:r>
            <w:r>
              <w:rPr>
                <w:rFonts w:hint="eastAsia" w:ascii="仿宋_GB2312" w:eastAsia="仿宋_GB2312"/>
                <w:sz w:val="24"/>
              </w:rPr>
              <w:t>-</w:t>
            </w:r>
            <w:r>
              <w:rPr>
                <w:rFonts w:hint="eastAsia" w:ascii="仿宋_GB2312" w:hAnsi="仿宋" w:eastAsia="仿宋_GB2312"/>
                <w:sz w:val="24"/>
              </w:rPr>
              <w:t>07:30</w:t>
            </w:r>
          </w:p>
        </w:tc>
        <w:tc>
          <w:tcPr>
            <w:tcW w:w="978" w:type="pct"/>
            <w:vAlign w:val="center"/>
          </w:tcPr>
          <w:p w14:paraId="5E87ABEE">
            <w:pPr>
              <w:adjustRightInd w:val="0"/>
              <w:snapToGrid w:val="0"/>
              <w:rPr>
                <w:rFonts w:ascii="仿宋_GB2312" w:hAnsi="仿宋" w:eastAsia="仿宋_GB2312"/>
                <w:sz w:val="24"/>
              </w:rPr>
            </w:pPr>
            <w:r>
              <w:rPr>
                <w:rFonts w:hint="eastAsia" w:ascii="仿宋_GB2312" w:hAnsi="仿宋" w:eastAsia="仿宋_GB2312"/>
                <w:sz w:val="24"/>
              </w:rPr>
              <w:t>启封赛场</w:t>
            </w:r>
          </w:p>
        </w:tc>
        <w:tc>
          <w:tcPr>
            <w:tcW w:w="2198" w:type="pct"/>
            <w:vAlign w:val="center"/>
          </w:tcPr>
          <w:p w14:paraId="318E99AD">
            <w:pPr>
              <w:adjustRightInd w:val="0"/>
              <w:snapToGrid w:val="0"/>
              <w:rPr>
                <w:rFonts w:ascii="仿宋_GB2312" w:hAnsi="仿宋" w:eastAsia="仿宋_GB2312"/>
                <w:sz w:val="24"/>
              </w:rPr>
            </w:pPr>
            <w:r>
              <w:rPr>
                <w:rFonts w:hint="eastAsia" w:ascii="仿宋_GB2312" w:hAnsi="仿宋" w:eastAsia="仿宋_GB2312"/>
                <w:sz w:val="24"/>
              </w:rPr>
              <w:t>在裁判员和监督仲裁组的监督下工作人员启封赛场</w:t>
            </w:r>
          </w:p>
        </w:tc>
      </w:tr>
      <w:tr w14:paraId="243BB0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4ABAD58C">
            <w:pPr>
              <w:adjustRightInd w:val="0"/>
              <w:snapToGrid w:val="0"/>
              <w:ind w:left="-105" w:leftChars="-50" w:right="-105" w:rightChars="-50"/>
              <w:jc w:val="center"/>
              <w:rPr>
                <w:rFonts w:ascii="仿宋_GB2312" w:eastAsia="仿宋_GB2312"/>
                <w:sz w:val="24"/>
              </w:rPr>
            </w:pPr>
          </w:p>
        </w:tc>
        <w:tc>
          <w:tcPr>
            <w:tcW w:w="911" w:type="pct"/>
            <w:vAlign w:val="center"/>
          </w:tcPr>
          <w:p w14:paraId="499A36A3">
            <w:pPr>
              <w:adjustRightInd w:val="0"/>
              <w:snapToGrid w:val="0"/>
              <w:ind w:left="-105" w:leftChars="-50" w:right="-105" w:rightChars="-50"/>
              <w:jc w:val="center"/>
              <w:rPr>
                <w:rFonts w:ascii="仿宋_GB2312" w:eastAsia="仿宋_GB2312"/>
                <w:sz w:val="24"/>
              </w:rPr>
            </w:pPr>
            <w:r>
              <w:rPr>
                <w:rFonts w:hint="eastAsia" w:ascii="仿宋_GB2312" w:eastAsia="仿宋_GB2312"/>
                <w:sz w:val="24"/>
              </w:rPr>
              <w:t>07:45-0</w:t>
            </w:r>
            <w:r>
              <w:rPr>
                <w:rFonts w:ascii="仿宋_GB2312" w:eastAsia="仿宋_GB2312"/>
                <w:sz w:val="24"/>
              </w:rPr>
              <w:t>7</w:t>
            </w:r>
            <w:r>
              <w:rPr>
                <w:rFonts w:hint="eastAsia" w:ascii="仿宋_GB2312" w:eastAsia="仿宋_GB2312"/>
                <w:sz w:val="24"/>
              </w:rPr>
              <w:t>:</w:t>
            </w:r>
            <w:r>
              <w:rPr>
                <w:rFonts w:ascii="仿宋_GB2312" w:eastAsia="仿宋_GB2312"/>
                <w:sz w:val="24"/>
              </w:rPr>
              <w:t>5</w:t>
            </w:r>
            <w:r>
              <w:rPr>
                <w:rFonts w:hint="eastAsia" w:ascii="仿宋_GB2312" w:eastAsia="仿宋_GB2312"/>
                <w:sz w:val="24"/>
              </w:rPr>
              <w:t>5</w:t>
            </w:r>
          </w:p>
        </w:tc>
        <w:tc>
          <w:tcPr>
            <w:tcW w:w="978" w:type="pct"/>
            <w:vAlign w:val="center"/>
          </w:tcPr>
          <w:p w14:paraId="331B3266">
            <w:pPr>
              <w:adjustRightInd w:val="0"/>
              <w:snapToGrid w:val="0"/>
              <w:rPr>
                <w:rFonts w:ascii="仿宋_GB2312" w:eastAsia="仿宋_GB2312"/>
                <w:sz w:val="24"/>
              </w:rPr>
            </w:pPr>
            <w:r>
              <w:rPr>
                <w:rFonts w:hint="eastAsia" w:eastAsia="仿宋_GB2312"/>
                <w:sz w:val="24"/>
              </w:rPr>
              <w:t>竞赛</w:t>
            </w:r>
            <w:r>
              <w:rPr>
                <w:rFonts w:hint="eastAsia" w:ascii="仿宋_GB2312" w:eastAsia="仿宋_GB2312"/>
                <w:sz w:val="24"/>
              </w:rPr>
              <w:t>选手进行一次加密</w:t>
            </w:r>
          </w:p>
        </w:tc>
        <w:tc>
          <w:tcPr>
            <w:tcW w:w="2198" w:type="pct"/>
            <w:vAlign w:val="center"/>
          </w:tcPr>
          <w:p w14:paraId="431F6DF9">
            <w:pPr>
              <w:adjustRightInd w:val="0"/>
              <w:snapToGrid w:val="0"/>
              <w:rPr>
                <w:rFonts w:ascii="仿宋_GB2312" w:eastAsia="仿宋_GB2312"/>
                <w:sz w:val="24"/>
              </w:rPr>
            </w:pPr>
            <w:r>
              <w:rPr>
                <w:rFonts w:hint="eastAsia" w:ascii="仿宋_GB2312" w:eastAsia="仿宋_GB2312"/>
                <w:sz w:val="24"/>
              </w:rPr>
              <w:t>参赛选手持参赛证、身份证和学生证接受工作人员检录并进行一次加密确定参赛编号</w:t>
            </w:r>
          </w:p>
        </w:tc>
      </w:tr>
      <w:tr w14:paraId="056179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67AA3C9F">
            <w:pPr>
              <w:adjustRightInd w:val="0"/>
              <w:snapToGrid w:val="0"/>
              <w:ind w:left="-105" w:leftChars="-50" w:right="-105" w:rightChars="-50"/>
              <w:jc w:val="center"/>
              <w:rPr>
                <w:rFonts w:ascii="仿宋_GB2312" w:eastAsia="仿宋_GB2312"/>
                <w:sz w:val="24"/>
              </w:rPr>
            </w:pPr>
          </w:p>
        </w:tc>
        <w:tc>
          <w:tcPr>
            <w:tcW w:w="911" w:type="pct"/>
            <w:vAlign w:val="center"/>
          </w:tcPr>
          <w:p w14:paraId="079CF3A6">
            <w:pPr>
              <w:adjustRightInd w:val="0"/>
              <w:snapToGrid w:val="0"/>
              <w:ind w:left="-105" w:leftChars="-50" w:right="-105" w:rightChars="-50"/>
              <w:jc w:val="center"/>
              <w:rPr>
                <w:rFonts w:ascii="仿宋_GB2312" w:eastAsia="仿宋_GB2312"/>
                <w:sz w:val="24"/>
              </w:rPr>
            </w:pPr>
            <w:r>
              <w:rPr>
                <w:rFonts w:hint="eastAsia" w:ascii="仿宋_GB2312" w:eastAsia="仿宋_GB2312"/>
                <w:sz w:val="24"/>
              </w:rPr>
              <w:t>07:</w:t>
            </w:r>
            <w:r>
              <w:rPr>
                <w:rFonts w:ascii="仿宋_GB2312" w:eastAsia="仿宋_GB2312"/>
                <w:sz w:val="24"/>
              </w:rPr>
              <w:t>5</w:t>
            </w:r>
            <w:r>
              <w:rPr>
                <w:rFonts w:hint="eastAsia" w:ascii="仿宋_GB2312" w:eastAsia="仿宋_GB2312"/>
                <w:sz w:val="24"/>
              </w:rPr>
              <w:t>5-0</w:t>
            </w:r>
            <w:r>
              <w:rPr>
                <w:rFonts w:ascii="仿宋_GB2312" w:eastAsia="仿宋_GB2312"/>
                <w:sz w:val="24"/>
              </w:rPr>
              <w:t>8</w:t>
            </w:r>
            <w:r>
              <w:rPr>
                <w:rFonts w:hint="eastAsia" w:ascii="仿宋_GB2312" w:eastAsia="仿宋_GB2312"/>
                <w:sz w:val="24"/>
              </w:rPr>
              <w:t>:</w:t>
            </w:r>
            <w:r>
              <w:rPr>
                <w:rFonts w:ascii="仿宋_GB2312" w:eastAsia="仿宋_GB2312"/>
                <w:sz w:val="24"/>
              </w:rPr>
              <w:t>2</w:t>
            </w:r>
            <w:r>
              <w:rPr>
                <w:rFonts w:hint="eastAsia" w:ascii="仿宋_GB2312" w:eastAsia="仿宋_GB2312"/>
                <w:sz w:val="24"/>
              </w:rPr>
              <w:t>5</w:t>
            </w:r>
          </w:p>
        </w:tc>
        <w:tc>
          <w:tcPr>
            <w:tcW w:w="978" w:type="pct"/>
            <w:vAlign w:val="center"/>
          </w:tcPr>
          <w:p w14:paraId="4F6CA2F1">
            <w:pPr>
              <w:adjustRightInd w:val="0"/>
              <w:snapToGrid w:val="0"/>
              <w:rPr>
                <w:rFonts w:eastAsia="仿宋_GB2312"/>
                <w:sz w:val="24"/>
              </w:rPr>
            </w:pPr>
            <w:r>
              <w:rPr>
                <w:rFonts w:hint="eastAsia" w:eastAsia="仿宋_GB2312"/>
                <w:sz w:val="24"/>
              </w:rPr>
              <w:t>二次抽签加密</w:t>
            </w:r>
          </w:p>
        </w:tc>
        <w:tc>
          <w:tcPr>
            <w:tcW w:w="2198" w:type="pct"/>
            <w:vAlign w:val="center"/>
          </w:tcPr>
          <w:p w14:paraId="7A16F4C2">
            <w:pPr>
              <w:adjustRightInd w:val="0"/>
              <w:snapToGrid w:val="0"/>
              <w:rPr>
                <w:rFonts w:ascii="仿宋_GB2312" w:eastAsia="仿宋_GB2312"/>
                <w:sz w:val="24"/>
              </w:rPr>
            </w:pPr>
            <w:r>
              <w:rPr>
                <w:rFonts w:hint="eastAsia" w:ascii="仿宋_GB2312" w:eastAsia="仿宋_GB2312"/>
                <w:sz w:val="24"/>
              </w:rPr>
              <w:t>参赛选手凭一次加密后的参赛编号进行二次抽签加密确定赛位号</w:t>
            </w:r>
          </w:p>
        </w:tc>
      </w:tr>
      <w:tr w14:paraId="46731F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071205B3">
            <w:pPr>
              <w:adjustRightInd w:val="0"/>
              <w:snapToGrid w:val="0"/>
              <w:ind w:left="-105" w:leftChars="-50" w:right="-105" w:rightChars="-50"/>
              <w:jc w:val="center"/>
              <w:rPr>
                <w:rFonts w:ascii="仿宋_GB2312" w:eastAsia="仿宋_GB2312"/>
                <w:sz w:val="24"/>
              </w:rPr>
            </w:pPr>
          </w:p>
        </w:tc>
        <w:tc>
          <w:tcPr>
            <w:tcW w:w="911" w:type="pct"/>
            <w:vAlign w:val="center"/>
          </w:tcPr>
          <w:p w14:paraId="7F2F3F73">
            <w:pPr>
              <w:adjustRightInd w:val="0"/>
              <w:snapToGrid w:val="0"/>
              <w:ind w:left="-105" w:leftChars="-50" w:right="-105" w:rightChars="-50"/>
              <w:jc w:val="center"/>
              <w:rPr>
                <w:rFonts w:ascii="仿宋_GB2312" w:eastAsia="仿宋_GB2312"/>
                <w:sz w:val="24"/>
              </w:rPr>
            </w:pPr>
            <w:r>
              <w:rPr>
                <w:rFonts w:ascii="仿宋_GB2312" w:eastAsia="仿宋_GB2312"/>
                <w:sz w:val="24"/>
              </w:rPr>
              <w:t>0</w:t>
            </w:r>
            <w:r>
              <w:rPr>
                <w:rFonts w:hint="eastAsia" w:ascii="仿宋_GB2312" w:eastAsia="仿宋_GB2312"/>
                <w:sz w:val="24"/>
              </w:rPr>
              <w:t>8:</w:t>
            </w:r>
            <w:r>
              <w:rPr>
                <w:rFonts w:ascii="仿宋_GB2312" w:eastAsia="仿宋_GB2312"/>
                <w:sz w:val="24"/>
              </w:rPr>
              <w:t>2</w:t>
            </w:r>
            <w:r>
              <w:rPr>
                <w:rFonts w:hint="eastAsia" w:ascii="仿宋_GB2312" w:eastAsia="仿宋_GB2312"/>
                <w:sz w:val="24"/>
              </w:rPr>
              <w:t>5</w:t>
            </w:r>
            <w:r>
              <w:rPr>
                <w:rFonts w:ascii="仿宋_GB2312" w:eastAsia="仿宋_GB2312"/>
                <w:sz w:val="24"/>
              </w:rPr>
              <w:t>-0</w:t>
            </w:r>
            <w:r>
              <w:rPr>
                <w:rFonts w:hint="eastAsia" w:ascii="仿宋_GB2312" w:eastAsia="仿宋_GB2312"/>
                <w:sz w:val="24"/>
              </w:rPr>
              <w:t>8:</w:t>
            </w:r>
            <w:r>
              <w:rPr>
                <w:rFonts w:ascii="仿宋_GB2312" w:eastAsia="仿宋_GB2312"/>
                <w:sz w:val="24"/>
              </w:rPr>
              <w:t>5</w:t>
            </w:r>
            <w:r>
              <w:rPr>
                <w:rFonts w:hint="eastAsia" w:ascii="仿宋_GB2312" w:eastAsia="仿宋_GB2312"/>
                <w:sz w:val="24"/>
              </w:rPr>
              <w:t>0</w:t>
            </w:r>
          </w:p>
        </w:tc>
        <w:tc>
          <w:tcPr>
            <w:tcW w:w="978" w:type="pct"/>
            <w:vAlign w:val="center"/>
          </w:tcPr>
          <w:p w14:paraId="6F2CA72A">
            <w:pPr>
              <w:adjustRightInd w:val="0"/>
              <w:snapToGrid w:val="0"/>
              <w:rPr>
                <w:rFonts w:eastAsia="仿宋_GB2312"/>
                <w:sz w:val="24"/>
              </w:rPr>
            </w:pPr>
            <w:r>
              <w:rPr>
                <w:rFonts w:hint="eastAsia" w:eastAsia="仿宋_GB2312"/>
                <w:sz w:val="24"/>
              </w:rPr>
              <w:t>竞赛入场检录</w:t>
            </w:r>
          </w:p>
        </w:tc>
        <w:tc>
          <w:tcPr>
            <w:tcW w:w="2198" w:type="pct"/>
            <w:vAlign w:val="center"/>
          </w:tcPr>
          <w:p w14:paraId="317F7628">
            <w:pPr>
              <w:adjustRightInd w:val="0"/>
              <w:snapToGrid w:val="0"/>
              <w:rPr>
                <w:rFonts w:ascii="仿宋_GB2312" w:eastAsia="仿宋_GB2312"/>
                <w:sz w:val="24"/>
              </w:rPr>
            </w:pPr>
            <w:r>
              <w:rPr>
                <w:rFonts w:hint="eastAsia" w:ascii="仿宋_GB2312" w:eastAsia="仿宋_GB2312"/>
                <w:sz w:val="24"/>
              </w:rPr>
              <w:t>参赛选手凭赛位号接受入场检录确认没有携带竞赛禁止的工具和材料</w:t>
            </w:r>
          </w:p>
        </w:tc>
      </w:tr>
      <w:tr w14:paraId="6BA63F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65DAD0C9">
            <w:pPr>
              <w:adjustRightInd w:val="0"/>
              <w:snapToGrid w:val="0"/>
              <w:ind w:left="-105" w:leftChars="-50" w:right="-105" w:rightChars="-50"/>
              <w:jc w:val="center"/>
              <w:rPr>
                <w:rFonts w:ascii="仿宋_GB2312" w:eastAsia="仿宋_GB2312"/>
                <w:sz w:val="24"/>
              </w:rPr>
            </w:pPr>
          </w:p>
        </w:tc>
        <w:tc>
          <w:tcPr>
            <w:tcW w:w="911" w:type="pct"/>
            <w:vAlign w:val="center"/>
          </w:tcPr>
          <w:p w14:paraId="3E86BBCE">
            <w:pPr>
              <w:adjustRightInd w:val="0"/>
              <w:snapToGrid w:val="0"/>
              <w:ind w:left="-105" w:leftChars="-50" w:right="-105" w:rightChars="-50"/>
              <w:jc w:val="center"/>
              <w:rPr>
                <w:rFonts w:ascii="仿宋_GB2312" w:eastAsia="仿宋_GB2312"/>
                <w:sz w:val="24"/>
              </w:rPr>
            </w:pPr>
            <w:r>
              <w:rPr>
                <w:rFonts w:hint="eastAsia" w:ascii="仿宋_GB2312" w:eastAsia="仿宋_GB2312"/>
                <w:sz w:val="24"/>
              </w:rPr>
              <w:t>08:5</w:t>
            </w:r>
            <w:r>
              <w:rPr>
                <w:rFonts w:ascii="仿宋_GB2312" w:eastAsia="仿宋_GB2312"/>
                <w:sz w:val="24"/>
              </w:rPr>
              <w:t>0</w:t>
            </w:r>
            <w:r>
              <w:rPr>
                <w:rFonts w:hint="eastAsia" w:ascii="仿宋_GB2312" w:eastAsia="仿宋_GB2312"/>
                <w:sz w:val="24"/>
              </w:rPr>
              <w:t>-09:00</w:t>
            </w:r>
          </w:p>
        </w:tc>
        <w:tc>
          <w:tcPr>
            <w:tcW w:w="978" w:type="pct"/>
            <w:vAlign w:val="center"/>
          </w:tcPr>
          <w:p w14:paraId="2EB93B10">
            <w:pPr>
              <w:adjustRightInd w:val="0"/>
              <w:snapToGrid w:val="0"/>
              <w:rPr>
                <w:rFonts w:eastAsia="仿宋_GB2312"/>
                <w:sz w:val="24"/>
              </w:rPr>
            </w:pPr>
            <w:r>
              <w:rPr>
                <w:rFonts w:hint="eastAsia" w:eastAsia="仿宋_GB2312"/>
                <w:sz w:val="24"/>
              </w:rPr>
              <w:t>竞赛选手</w:t>
            </w:r>
            <w:r>
              <w:rPr>
                <w:rFonts w:hint="eastAsia" w:ascii="仿宋_GB2312" w:eastAsia="仿宋_GB2312"/>
                <w:sz w:val="24"/>
              </w:rPr>
              <w:t>入场就位、发布竞赛任务</w:t>
            </w:r>
          </w:p>
        </w:tc>
        <w:tc>
          <w:tcPr>
            <w:tcW w:w="2198" w:type="pct"/>
            <w:vAlign w:val="center"/>
          </w:tcPr>
          <w:p w14:paraId="60220B15">
            <w:pPr>
              <w:adjustRightInd w:val="0"/>
              <w:snapToGrid w:val="0"/>
              <w:rPr>
                <w:rFonts w:ascii="仿宋_GB2312" w:hAnsi="宋体" w:eastAsia="仿宋_GB2312" w:cs="宋体"/>
                <w:kern w:val="0"/>
                <w:sz w:val="24"/>
              </w:rPr>
            </w:pPr>
            <w:r>
              <w:rPr>
                <w:rFonts w:hint="eastAsia" w:ascii="仿宋_GB2312" w:eastAsia="仿宋_GB2312"/>
                <w:sz w:val="24"/>
              </w:rPr>
              <w:t>参赛选手根据赛位号由工作人员引导进入竞赛工位、</w:t>
            </w:r>
            <w:r>
              <w:rPr>
                <w:rFonts w:hint="eastAsia" w:ascii="仿宋_GB2312" w:hAnsi="宋体" w:eastAsia="仿宋_GB2312" w:cs="宋体"/>
                <w:kern w:val="0"/>
                <w:sz w:val="24"/>
              </w:rPr>
              <w:t>裁判宣读竞赛规则及赛场规则，发布竞赛任务并作必要说明</w:t>
            </w:r>
          </w:p>
        </w:tc>
      </w:tr>
      <w:tr w14:paraId="722C67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2374D8B5">
            <w:pPr>
              <w:adjustRightInd w:val="0"/>
              <w:snapToGrid w:val="0"/>
              <w:ind w:left="-105" w:leftChars="-50" w:right="-105" w:rightChars="-50"/>
              <w:jc w:val="center"/>
              <w:rPr>
                <w:rFonts w:ascii="仿宋_GB2312" w:eastAsia="仿宋_GB2312"/>
                <w:sz w:val="24"/>
              </w:rPr>
            </w:pPr>
          </w:p>
        </w:tc>
        <w:tc>
          <w:tcPr>
            <w:tcW w:w="911" w:type="pct"/>
            <w:vAlign w:val="center"/>
          </w:tcPr>
          <w:p w14:paraId="0A445DB2">
            <w:pPr>
              <w:adjustRightInd w:val="0"/>
              <w:snapToGrid w:val="0"/>
              <w:ind w:left="-105" w:leftChars="-50" w:right="-105" w:rightChars="-50"/>
              <w:jc w:val="center"/>
              <w:rPr>
                <w:rFonts w:ascii="仿宋_GB2312" w:eastAsia="仿宋_GB2312"/>
                <w:sz w:val="24"/>
              </w:rPr>
            </w:pPr>
            <w:r>
              <w:rPr>
                <w:rFonts w:hint="eastAsia" w:ascii="仿宋_GB2312" w:eastAsia="仿宋_GB2312"/>
                <w:sz w:val="24"/>
              </w:rPr>
              <w:t>09:00</w:t>
            </w:r>
            <w:r>
              <w:rPr>
                <w:rFonts w:ascii="仿宋_GB2312" w:eastAsia="仿宋_GB2312"/>
                <w:sz w:val="24"/>
              </w:rPr>
              <w:t>-13</w:t>
            </w:r>
            <w:r>
              <w:rPr>
                <w:rFonts w:hint="eastAsia" w:ascii="仿宋_GB2312" w:eastAsia="仿宋_GB2312"/>
                <w:sz w:val="24"/>
              </w:rPr>
              <w:t>:</w:t>
            </w:r>
            <w:r>
              <w:rPr>
                <w:rFonts w:ascii="仿宋_GB2312" w:eastAsia="仿宋_GB2312"/>
                <w:sz w:val="24"/>
              </w:rPr>
              <w:t>0</w:t>
            </w:r>
            <w:r>
              <w:rPr>
                <w:rFonts w:hint="eastAsia" w:ascii="仿宋_GB2312" w:eastAsia="仿宋_GB2312"/>
                <w:sz w:val="24"/>
              </w:rPr>
              <w:t>0</w:t>
            </w:r>
          </w:p>
        </w:tc>
        <w:tc>
          <w:tcPr>
            <w:tcW w:w="978" w:type="pct"/>
            <w:vAlign w:val="center"/>
          </w:tcPr>
          <w:p w14:paraId="26438F7B">
            <w:pPr>
              <w:adjustRightInd w:val="0"/>
              <w:snapToGrid w:val="0"/>
              <w:rPr>
                <w:rFonts w:ascii="仿宋_GB2312" w:eastAsia="仿宋_GB2312"/>
                <w:sz w:val="24"/>
              </w:rPr>
            </w:pPr>
            <w:r>
              <w:rPr>
                <w:rFonts w:hint="eastAsia" w:ascii="仿宋_GB2312" w:eastAsia="仿宋_GB2312"/>
                <w:sz w:val="24"/>
              </w:rPr>
              <w:t>竞赛</w:t>
            </w:r>
          </w:p>
        </w:tc>
        <w:tc>
          <w:tcPr>
            <w:tcW w:w="2198" w:type="pct"/>
            <w:vAlign w:val="center"/>
          </w:tcPr>
          <w:p w14:paraId="66C23DFC">
            <w:pPr>
              <w:adjustRightInd w:val="0"/>
              <w:snapToGrid w:val="0"/>
              <w:rPr>
                <w:rFonts w:ascii="仿宋_GB2312" w:eastAsia="仿宋_GB2312"/>
                <w:sz w:val="24"/>
              </w:rPr>
            </w:pPr>
            <w:r>
              <w:rPr>
                <w:rFonts w:hint="eastAsia" w:ascii="仿宋_GB2312" w:eastAsia="仿宋_GB2312"/>
                <w:sz w:val="24"/>
              </w:rPr>
              <w:t>-</w:t>
            </w:r>
            <w:r>
              <w:rPr>
                <w:rFonts w:ascii="仿宋_GB2312" w:eastAsia="仿宋_GB2312"/>
                <w:sz w:val="24"/>
              </w:rPr>
              <w:t>-</w:t>
            </w:r>
          </w:p>
        </w:tc>
      </w:tr>
      <w:tr w14:paraId="06AFF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54A9DB7F">
            <w:pPr>
              <w:adjustRightInd w:val="0"/>
              <w:snapToGrid w:val="0"/>
              <w:ind w:left="-105" w:leftChars="-50" w:right="-105" w:rightChars="-50"/>
              <w:jc w:val="center"/>
              <w:rPr>
                <w:rFonts w:ascii="仿宋_GB2312" w:eastAsia="仿宋_GB2312"/>
                <w:sz w:val="24"/>
              </w:rPr>
            </w:pPr>
          </w:p>
        </w:tc>
        <w:tc>
          <w:tcPr>
            <w:tcW w:w="911" w:type="pct"/>
            <w:vAlign w:val="center"/>
          </w:tcPr>
          <w:p w14:paraId="1D0824EE">
            <w:pPr>
              <w:adjustRightInd w:val="0"/>
              <w:snapToGrid w:val="0"/>
              <w:ind w:left="-105" w:leftChars="-50" w:right="-105" w:rightChars="-50"/>
              <w:jc w:val="center"/>
              <w:rPr>
                <w:rFonts w:ascii="仿宋_GB2312" w:eastAsia="仿宋_GB2312"/>
                <w:sz w:val="24"/>
              </w:rPr>
            </w:pPr>
            <w:r>
              <w:rPr>
                <w:rFonts w:hint="eastAsia" w:ascii="仿宋_GB2312" w:eastAsia="仿宋_GB2312"/>
                <w:sz w:val="24"/>
              </w:rPr>
              <w:t>1</w:t>
            </w:r>
            <w:r>
              <w:rPr>
                <w:rFonts w:ascii="仿宋_GB2312" w:eastAsia="仿宋_GB2312"/>
                <w:sz w:val="24"/>
              </w:rPr>
              <w:t>3</w:t>
            </w:r>
            <w:r>
              <w:rPr>
                <w:rFonts w:hint="eastAsia" w:ascii="仿宋_GB2312" w:eastAsia="仿宋_GB2312"/>
                <w:sz w:val="24"/>
              </w:rPr>
              <w:t>:</w:t>
            </w:r>
            <w:r>
              <w:rPr>
                <w:rFonts w:ascii="仿宋_GB2312" w:eastAsia="仿宋_GB2312"/>
                <w:sz w:val="24"/>
              </w:rPr>
              <w:t>0</w:t>
            </w:r>
            <w:r>
              <w:rPr>
                <w:rFonts w:hint="eastAsia" w:ascii="仿宋_GB2312" w:eastAsia="仿宋_GB2312"/>
                <w:sz w:val="24"/>
              </w:rPr>
              <w:t>0-</w:t>
            </w:r>
            <w:r>
              <w:rPr>
                <w:rFonts w:ascii="仿宋_GB2312" w:eastAsia="仿宋_GB2312"/>
                <w:sz w:val="24"/>
              </w:rPr>
              <w:t>14</w:t>
            </w:r>
            <w:r>
              <w:rPr>
                <w:rFonts w:hint="eastAsia" w:ascii="仿宋_GB2312" w:eastAsia="仿宋_GB2312"/>
                <w:sz w:val="24"/>
              </w:rPr>
              <w:t>:</w:t>
            </w:r>
            <w:r>
              <w:rPr>
                <w:rFonts w:ascii="仿宋_GB2312" w:eastAsia="仿宋_GB2312"/>
                <w:sz w:val="24"/>
              </w:rPr>
              <w:t>0</w:t>
            </w:r>
            <w:r>
              <w:rPr>
                <w:rFonts w:hint="eastAsia" w:ascii="仿宋_GB2312" w:eastAsia="仿宋_GB2312"/>
                <w:sz w:val="24"/>
              </w:rPr>
              <w:t>0</w:t>
            </w:r>
          </w:p>
        </w:tc>
        <w:tc>
          <w:tcPr>
            <w:tcW w:w="978" w:type="pct"/>
            <w:vAlign w:val="center"/>
          </w:tcPr>
          <w:p w14:paraId="173086A6">
            <w:pPr>
              <w:adjustRightInd w:val="0"/>
              <w:snapToGrid w:val="0"/>
              <w:rPr>
                <w:rFonts w:hint="eastAsia" w:ascii="仿宋_GB2312" w:eastAsia="仿宋_GB2312"/>
                <w:sz w:val="24"/>
                <w:lang w:val="en-US" w:eastAsia="zh-CN"/>
              </w:rPr>
            </w:pPr>
            <w:r>
              <w:rPr>
                <w:rFonts w:hint="eastAsia" w:ascii="仿宋_GB2312" w:eastAsia="仿宋_GB2312"/>
                <w:sz w:val="24"/>
                <w:lang w:val="en-US" w:eastAsia="zh-CN"/>
              </w:rPr>
              <w:t>上午考试评分</w:t>
            </w:r>
          </w:p>
        </w:tc>
        <w:tc>
          <w:tcPr>
            <w:tcW w:w="2198" w:type="pct"/>
            <w:vAlign w:val="center"/>
          </w:tcPr>
          <w:p w14:paraId="220FDD95">
            <w:pPr>
              <w:adjustRightInd w:val="0"/>
              <w:snapToGrid w:val="0"/>
              <w:rPr>
                <w:rFonts w:ascii="仿宋_GB2312" w:eastAsia="仿宋_GB2312"/>
                <w:sz w:val="24"/>
              </w:rPr>
            </w:pPr>
            <w:r>
              <w:rPr>
                <w:rFonts w:hint="eastAsia" w:ascii="仿宋_GB2312" w:eastAsia="仿宋_GB2312"/>
                <w:sz w:val="24"/>
              </w:rPr>
              <w:t>--</w:t>
            </w:r>
          </w:p>
        </w:tc>
      </w:tr>
      <w:tr w14:paraId="2EEC50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634B55F0">
            <w:pPr>
              <w:adjustRightInd w:val="0"/>
              <w:snapToGrid w:val="0"/>
              <w:ind w:left="-105" w:leftChars="-50" w:right="-105" w:rightChars="-50"/>
              <w:jc w:val="center"/>
              <w:rPr>
                <w:rFonts w:ascii="仿宋_GB2312" w:eastAsia="仿宋_GB2312"/>
                <w:sz w:val="24"/>
              </w:rPr>
            </w:pPr>
          </w:p>
        </w:tc>
        <w:tc>
          <w:tcPr>
            <w:tcW w:w="911" w:type="pct"/>
            <w:vAlign w:val="center"/>
          </w:tcPr>
          <w:p w14:paraId="070634F2">
            <w:pPr>
              <w:adjustRightInd w:val="0"/>
              <w:snapToGrid w:val="0"/>
              <w:ind w:left="-105" w:leftChars="-50" w:right="-105" w:rightChars="-50"/>
              <w:jc w:val="center"/>
              <w:rPr>
                <w:rFonts w:ascii="仿宋_GB2312" w:eastAsia="仿宋_GB2312"/>
                <w:sz w:val="24"/>
              </w:rPr>
            </w:pPr>
            <w:r>
              <w:rPr>
                <w:rFonts w:hint="eastAsia" w:ascii="仿宋_GB2312" w:eastAsia="仿宋_GB2312"/>
                <w:sz w:val="24"/>
              </w:rPr>
              <w:t>1</w:t>
            </w:r>
            <w:r>
              <w:rPr>
                <w:rFonts w:ascii="仿宋_GB2312" w:eastAsia="仿宋_GB2312"/>
                <w:sz w:val="24"/>
              </w:rPr>
              <w:t>4</w:t>
            </w:r>
            <w:r>
              <w:rPr>
                <w:rFonts w:hint="eastAsia" w:ascii="仿宋_GB2312" w:eastAsia="仿宋_GB2312"/>
                <w:sz w:val="24"/>
              </w:rPr>
              <w:t>:</w:t>
            </w:r>
            <w:r>
              <w:rPr>
                <w:rFonts w:ascii="仿宋_GB2312" w:eastAsia="仿宋_GB2312"/>
                <w:sz w:val="24"/>
              </w:rPr>
              <w:t>0</w:t>
            </w:r>
            <w:r>
              <w:rPr>
                <w:rFonts w:hint="eastAsia" w:ascii="仿宋_GB2312" w:eastAsia="仿宋_GB2312"/>
                <w:sz w:val="24"/>
              </w:rPr>
              <w:t>0-</w:t>
            </w:r>
            <w:r>
              <w:rPr>
                <w:rFonts w:ascii="仿宋_GB2312" w:eastAsia="仿宋_GB2312"/>
                <w:sz w:val="24"/>
              </w:rPr>
              <w:t>17</w:t>
            </w:r>
            <w:r>
              <w:rPr>
                <w:rFonts w:hint="eastAsia" w:ascii="仿宋_GB2312" w:eastAsia="仿宋_GB2312"/>
                <w:sz w:val="24"/>
              </w:rPr>
              <w:t>:</w:t>
            </w:r>
            <w:r>
              <w:rPr>
                <w:rFonts w:ascii="仿宋_GB2312" w:eastAsia="仿宋_GB2312"/>
                <w:sz w:val="24"/>
              </w:rPr>
              <w:t>00</w:t>
            </w:r>
          </w:p>
        </w:tc>
        <w:tc>
          <w:tcPr>
            <w:tcW w:w="978" w:type="pct"/>
            <w:vAlign w:val="center"/>
          </w:tcPr>
          <w:p w14:paraId="6D04D1ED">
            <w:pPr>
              <w:adjustRightInd w:val="0"/>
              <w:snapToGrid w:val="0"/>
              <w:rPr>
                <w:rFonts w:ascii="仿宋_GB2312" w:eastAsia="仿宋_GB2312"/>
                <w:sz w:val="24"/>
              </w:rPr>
            </w:pPr>
            <w:r>
              <w:rPr>
                <w:rFonts w:hint="eastAsia" w:ascii="仿宋_GB2312" w:eastAsia="仿宋_GB2312"/>
                <w:sz w:val="24"/>
                <w:lang w:val="en-US" w:eastAsia="zh-CN"/>
              </w:rPr>
              <w:t>分组展示答辩</w:t>
            </w:r>
            <w:r>
              <w:rPr>
                <w:rFonts w:hint="eastAsia" w:ascii="仿宋_GB2312" w:eastAsia="仿宋_GB2312"/>
                <w:sz w:val="24"/>
              </w:rPr>
              <w:t>评分</w:t>
            </w:r>
          </w:p>
        </w:tc>
        <w:tc>
          <w:tcPr>
            <w:tcW w:w="2198" w:type="pct"/>
            <w:vAlign w:val="center"/>
          </w:tcPr>
          <w:p w14:paraId="63F2E49D">
            <w:pPr>
              <w:adjustRightInd w:val="0"/>
              <w:snapToGrid w:val="0"/>
              <w:rPr>
                <w:rFonts w:ascii="仿宋_GB2312" w:eastAsia="仿宋_GB2312"/>
                <w:sz w:val="24"/>
              </w:rPr>
            </w:pPr>
            <w:r>
              <w:rPr>
                <w:rFonts w:hint="eastAsia" w:ascii="仿宋_GB2312" w:eastAsia="仿宋_GB2312"/>
                <w:sz w:val="24"/>
              </w:rPr>
              <w:t>裁判组对竞赛的各参赛队</w:t>
            </w:r>
            <w:r>
              <w:rPr>
                <w:rFonts w:hint="eastAsia" w:ascii="仿宋_GB2312" w:eastAsia="仿宋_GB2312"/>
                <w:sz w:val="24"/>
                <w:lang w:val="en-US" w:eastAsia="zh-CN"/>
              </w:rPr>
              <w:t>展示进行现场</w:t>
            </w:r>
            <w:r>
              <w:rPr>
                <w:rFonts w:hint="eastAsia" w:ascii="仿宋_GB2312" w:eastAsia="仿宋_GB2312"/>
                <w:sz w:val="24"/>
              </w:rPr>
              <w:t>评分</w:t>
            </w:r>
          </w:p>
        </w:tc>
      </w:tr>
      <w:tr w14:paraId="7A241C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1B8E93B1">
            <w:pPr>
              <w:adjustRightInd w:val="0"/>
              <w:snapToGrid w:val="0"/>
              <w:ind w:left="-105" w:leftChars="-50" w:right="-105" w:rightChars="-50"/>
              <w:jc w:val="center"/>
              <w:rPr>
                <w:rFonts w:ascii="仿宋_GB2312" w:eastAsia="仿宋_GB2312"/>
                <w:sz w:val="24"/>
              </w:rPr>
            </w:pPr>
          </w:p>
        </w:tc>
        <w:tc>
          <w:tcPr>
            <w:tcW w:w="911" w:type="pct"/>
            <w:vAlign w:val="center"/>
          </w:tcPr>
          <w:p w14:paraId="7AC68993">
            <w:pPr>
              <w:adjustRightInd w:val="0"/>
              <w:snapToGrid w:val="0"/>
              <w:ind w:left="-105" w:leftChars="-50" w:right="-105" w:rightChars="-50"/>
              <w:jc w:val="center"/>
              <w:rPr>
                <w:rFonts w:ascii="仿宋_GB2312" w:eastAsia="仿宋_GB2312"/>
                <w:sz w:val="24"/>
              </w:rPr>
            </w:pPr>
            <w:r>
              <w:rPr>
                <w:rFonts w:ascii="仿宋_GB2312" w:eastAsia="仿宋_GB2312"/>
                <w:sz w:val="24"/>
              </w:rPr>
              <w:t>17:00-18</w:t>
            </w:r>
            <w:r>
              <w:rPr>
                <w:rFonts w:hint="eastAsia" w:ascii="仿宋_GB2312" w:eastAsia="仿宋_GB2312"/>
                <w:sz w:val="24"/>
              </w:rPr>
              <w:t>:</w:t>
            </w:r>
            <w:r>
              <w:rPr>
                <w:rFonts w:ascii="仿宋_GB2312" w:eastAsia="仿宋_GB2312"/>
                <w:sz w:val="24"/>
              </w:rPr>
              <w:t>00</w:t>
            </w:r>
          </w:p>
        </w:tc>
        <w:tc>
          <w:tcPr>
            <w:tcW w:w="978" w:type="pct"/>
            <w:vAlign w:val="center"/>
          </w:tcPr>
          <w:p w14:paraId="14914D18">
            <w:pPr>
              <w:adjustRightInd w:val="0"/>
              <w:snapToGrid w:val="0"/>
              <w:rPr>
                <w:rFonts w:eastAsia="仿宋_GB2312"/>
                <w:sz w:val="24"/>
              </w:rPr>
            </w:pPr>
            <w:r>
              <w:rPr>
                <w:rFonts w:hint="eastAsia" w:ascii="仿宋_GB2312" w:eastAsia="仿宋_GB2312"/>
                <w:sz w:val="24"/>
                <w:lang w:val="en-US" w:eastAsia="zh-CN"/>
              </w:rPr>
              <w:t>上下午考试合并评分、</w:t>
            </w:r>
            <w:r>
              <w:rPr>
                <w:rFonts w:hint="eastAsia" w:ascii="仿宋_GB2312" w:eastAsia="仿宋_GB2312"/>
                <w:sz w:val="24"/>
              </w:rPr>
              <w:t>解密</w:t>
            </w:r>
          </w:p>
        </w:tc>
        <w:tc>
          <w:tcPr>
            <w:tcW w:w="2198" w:type="pct"/>
            <w:vAlign w:val="center"/>
          </w:tcPr>
          <w:p w14:paraId="008B685E">
            <w:pPr>
              <w:adjustRightInd w:val="0"/>
              <w:snapToGrid w:val="0"/>
              <w:rPr>
                <w:rFonts w:ascii="仿宋_GB2312" w:eastAsia="仿宋_GB2312"/>
                <w:sz w:val="24"/>
              </w:rPr>
            </w:pPr>
            <w:r>
              <w:rPr>
                <w:rFonts w:hint="eastAsia" w:ascii="仿宋_GB2312" w:eastAsia="仿宋_GB2312"/>
                <w:sz w:val="24"/>
              </w:rPr>
              <w:t>对加密信息进行解密</w:t>
            </w:r>
          </w:p>
        </w:tc>
      </w:tr>
      <w:tr w14:paraId="12BDDF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3DB6774A">
            <w:pPr>
              <w:adjustRightInd w:val="0"/>
              <w:snapToGrid w:val="0"/>
              <w:ind w:left="-105" w:leftChars="-50" w:right="-105" w:rightChars="-50"/>
              <w:jc w:val="center"/>
              <w:rPr>
                <w:rFonts w:ascii="仿宋_GB2312" w:eastAsia="仿宋_GB2312"/>
                <w:sz w:val="24"/>
              </w:rPr>
            </w:pPr>
          </w:p>
        </w:tc>
        <w:tc>
          <w:tcPr>
            <w:tcW w:w="911" w:type="pct"/>
            <w:vAlign w:val="center"/>
          </w:tcPr>
          <w:p w14:paraId="22AA83C8">
            <w:pPr>
              <w:adjustRightInd w:val="0"/>
              <w:snapToGrid w:val="0"/>
              <w:ind w:left="-105" w:leftChars="-50" w:right="-105" w:rightChars="-50"/>
              <w:jc w:val="center"/>
              <w:rPr>
                <w:rFonts w:ascii="仿宋_GB2312" w:eastAsia="仿宋_GB2312"/>
                <w:sz w:val="24"/>
              </w:rPr>
            </w:pPr>
            <w:r>
              <w:rPr>
                <w:rFonts w:ascii="仿宋_GB2312" w:eastAsia="仿宋_GB2312"/>
                <w:sz w:val="24"/>
              </w:rPr>
              <w:t>18:00-20:00</w:t>
            </w:r>
          </w:p>
        </w:tc>
        <w:tc>
          <w:tcPr>
            <w:tcW w:w="978" w:type="pct"/>
            <w:vAlign w:val="center"/>
          </w:tcPr>
          <w:p w14:paraId="056D72CF">
            <w:pPr>
              <w:adjustRightInd w:val="0"/>
              <w:snapToGrid w:val="0"/>
              <w:rPr>
                <w:rFonts w:ascii="仿宋_GB2312" w:eastAsia="仿宋_GB2312"/>
                <w:sz w:val="24"/>
              </w:rPr>
            </w:pPr>
            <w:r>
              <w:rPr>
                <w:rFonts w:hint="eastAsia" w:eastAsia="仿宋_GB2312"/>
                <w:sz w:val="24"/>
              </w:rPr>
              <w:t>当日成绩确认</w:t>
            </w:r>
          </w:p>
        </w:tc>
        <w:tc>
          <w:tcPr>
            <w:tcW w:w="2198" w:type="pct"/>
            <w:vAlign w:val="center"/>
          </w:tcPr>
          <w:p w14:paraId="48296FDA">
            <w:pPr>
              <w:adjustRightInd w:val="0"/>
              <w:snapToGrid w:val="0"/>
              <w:rPr>
                <w:rFonts w:ascii="仿宋_GB2312" w:eastAsia="仿宋_GB2312"/>
                <w:sz w:val="24"/>
              </w:rPr>
            </w:pPr>
            <w:r>
              <w:rPr>
                <w:rFonts w:hint="eastAsia" w:eastAsia="仿宋_GB2312"/>
                <w:sz w:val="24"/>
              </w:rPr>
              <w:t>对当日成绩确认并封存。</w:t>
            </w:r>
          </w:p>
        </w:tc>
      </w:tr>
      <w:tr w14:paraId="4930D3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1" w:type="pct"/>
            <w:vMerge w:val="continue"/>
            <w:vAlign w:val="center"/>
          </w:tcPr>
          <w:p w14:paraId="5637E9D1">
            <w:pPr>
              <w:adjustRightInd w:val="0"/>
              <w:snapToGrid w:val="0"/>
              <w:ind w:left="-105" w:leftChars="-50" w:right="-105" w:rightChars="-50"/>
              <w:jc w:val="center"/>
              <w:rPr>
                <w:rFonts w:ascii="仿宋_GB2312" w:eastAsia="仿宋_GB2312"/>
                <w:sz w:val="24"/>
              </w:rPr>
            </w:pPr>
          </w:p>
        </w:tc>
        <w:tc>
          <w:tcPr>
            <w:tcW w:w="911" w:type="pct"/>
            <w:vAlign w:val="center"/>
          </w:tcPr>
          <w:p w14:paraId="5D3D0FFE">
            <w:pPr>
              <w:adjustRightInd w:val="0"/>
              <w:snapToGrid w:val="0"/>
              <w:ind w:left="-105" w:leftChars="-50" w:right="-105" w:rightChars="-50"/>
              <w:jc w:val="center"/>
              <w:rPr>
                <w:rFonts w:ascii="仿宋_GB2312" w:eastAsia="仿宋_GB2312"/>
                <w:sz w:val="24"/>
              </w:rPr>
            </w:pPr>
            <w:r>
              <w:rPr>
                <w:rFonts w:ascii="仿宋_GB2312" w:eastAsia="仿宋_GB2312"/>
                <w:sz w:val="24"/>
              </w:rPr>
              <w:t>20:00-21:00</w:t>
            </w:r>
          </w:p>
        </w:tc>
        <w:tc>
          <w:tcPr>
            <w:tcW w:w="978" w:type="pct"/>
            <w:vAlign w:val="center"/>
          </w:tcPr>
          <w:p w14:paraId="66975AA6">
            <w:pPr>
              <w:adjustRightInd w:val="0"/>
              <w:snapToGrid w:val="0"/>
              <w:rPr>
                <w:rFonts w:eastAsia="仿宋_GB2312"/>
                <w:sz w:val="24"/>
              </w:rPr>
            </w:pPr>
            <w:r>
              <w:rPr>
                <w:rFonts w:hint="eastAsia" w:eastAsia="仿宋_GB2312"/>
                <w:sz w:val="24"/>
              </w:rPr>
              <w:t>汇总成绩</w:t>
            </w:r>
          </w:p>
        </w:tc>
        <w:tc>
          <w:tcPr>
            <w:tcW w:w="2198" w:type="pct"/>
            <w:vAlign w:val="center"/>
          </w:tcPr>
          <w:p w14:paraId="5D648DE0">
            <w:pPr>
              <w:adjustRightInd w:val="0"/>
              <w:snapToGrid w:val="0"/>
              <w:rPr>
                <w:rFonts w:hint="default" w:eastAsia="仿宋_GB2312"/>
                <w:sz w:val="24"/>
                <w:lang w:val="en-US" w:eastAsia="zh-CN"/>
              </w:rPr>
            </w:pPr>
            <w:r>
              <w:rPr>
                <w:rFonts w:hint="eastAsia" w:eastAsia="仿宋_GB2312"/>
                <w:sz w:val="24"/>
              </w:rPr>
              <w:t>比赛成绩进行汇总</w:t>
            </w:r>
            <w:r>
              <w:rPr>
                <w:rFonts w:hint="eastAsia" w:eastAsia="仿宋_GB2312"/>
                <w:sz w:val="24"/>
                <w:lang w:val="en-US" w:eastAsia="zh-CN"/>
              </w:rPr>
              <w:t>上报职教集团</w:t>
            </w:r>
          </w:p>
        </w:tc>
      </w:tr>
    </w:tbl>
    <w:p w14:paraId="639DBD5E">
      <w:r>
        <w:rPr>
          <w:rFonts w:hint="eastAsia" w:ascii="仿宋_GB2312" w:hAnsi="Arial Narrow" w:eastAsia="仿宋_GB2312" w:cs="Arial"/>
          <w:sz w:val="28"/>
          <w:szCs w:val="30"/>
        </w:rPr>
        <w:t>注：根据时间安排可根据实际情况更改。</w:t>
      </w:r>
    </w:p>
    <w:p w14:paraId="4C9BEDFF">
      <w:pPr>
        <w:snapToGrid w:val="0"/>
        <w:spacing w:line="560" w:lineRule="exact"/>
        <w:outlineLvl w:val="0"/>
        <w:rPr>
          <w:rFonts w:ascii="仿宋_GB2312" w:hAnsi="Arial Narrow" w:eastAsia="仿宋_GB2312" w:cs="Arial"/>
          <w:sz w:val="28"/>
          <w:szCs w:val="30"/>
        </w:rPr>
      </w:pPr>
      <w:r>
        <w:rPr>
          <w:rFonts w:hint="eastAsia" w:ascii="仿宋_GB2312" w:hAnsi="Arial Narrow" w:eastAsia="仿宋_GB2312" w:cs="Arial"/>
          <w:sz w:val="28"/>
          <w:szCs w:val="30"/>
        </w:rPr>
        <w:t>（三</w:t>
      </w:r>
      <w:r>
        <w:rPr>
          <w:rFonts w:ascii="仿宋_GB2312" w:hAnsi="Arial Narrow" w:eastAsia="仿宋_GB2312" w:cs="Arial"/>
          <w:sz w:val="28"/>
          <w:szCs w:val="30"/>
        </w:rPr>
        <w:t>）竞</w:t>
      </w:r>
      <w:r>
        <w:rPr>
          <w:rFonts w:hint="eastAsia" w:ascii="仿宋_GB2312" w:hAnsi="Arial Narrow" w:eastAsia="仿宋_GB2312" w:cs="Arial"/>
          <w:sz w:val="28"/>
          <w:szCs w:val="30"/>
        </w:rPr>
        <w:t>赛过程</w:t>
      </w:r>
    </w:p>
    <w:p w14:paraId="7E769B88">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1.参赛选手入场和就位</w:t>
      </w:r>
    </w:p>
    <w:p w14:paraId="43E7C01A">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参赛选手使用报到时领取的抽签号，进行一级加密顺序号及二级加密赛位号的抽取，入场时赛位号进行检录查询赛场的位置，并按照工位位置就位等候比赛开始。</w:t>
      </w:r>
    </w:p>
    <w:p w14:paraId="2CF163E3">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2.竞赛过程</w:t>
      </w:r>
    </w:p>
    <w:p w14:paraId="65CA3F7A">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在裁判长宣布比赛开始后，各参赛选手通过赛位号找到比赛工位，正式进行竞赛，按照每个工位提供的任务书上的项目要求，完成每个项目任务要求，并按照任务要求提交和保存竞赛结果；</w:t>
      </w:r>
    </w:p>
    <w:p w14:paraId="5E3B01A7">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3.竞赛结束</w:t>
      </w:r>
    </w:p>
    <w:p w14:paraId="29156259">
      <w:pPr>
        <w:spacing w:line="360" w:lineRule="auto"/>
        <w:ind w:firstLine="560" w:firstLineChars="200"/>
      </w:pPr>
      <w:r>
        <w:rPr>
          <w:rFonts w:hint="eastAsia" w:ascii="仿宋_GB2312" w:hAnsi="Arial Narrow" w:eastAsia="仿宋_GB2312" w:cs="Arial"/>
          <w:sz w:val="28"/>
          <w:szCs w:val="30"/>
        </w:rPr>
        <w:t>在竞赛规定时间到达后，裁判长会宣布竞赛结束，每个竞赛工位设备锁定，参赛选手停止所有操作，并按照裁判组要求有次序的离开竞赛场地。</w:t>
      </w:r>
    </w:p>
    <w:p w14:paraId="38350618">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六、竞赛规则</w:t>
      </w:r>
    </w:p>
    <w:p w14:paraId="4F7AF683">
      <w:pPr>
        <w:spacing w:before="130" w:line="218" w:lineRule="auto"/>
        <w:ind w:left="535"/>
        <w:outlineLvl w:val="0"/>
        <w:rPr>
          <w:rFonts w:ascii="仿宋" w:hAnsi="仿宋" w:eastAsia="仿宋" w:cs="仿宋"/>
          <w:sz w:val="28"/>
          <w:szCs w:val="28"/>
        </w:rPr>
      </w:pPr>
      <w:bookmarkStart w:id="4" w:name="_Hlk509269238"/>
      <w:r>
        <w:rPr>
          <w:rFonts w:ascii="仿宋" w:hAnsi="仿宋" w:eastAsia="仿宋" w:cs="仿宋"/>
          <w:spacing w:val="-10"/>
          <w:sz w:val="28"/>
          <w:szCs w:val="28"/>
        </w:rPr>
        <w:t>（</w:t>
      </w:r>
      <w:r>
        <w:rPr>
          <w:rFonts w:ascii="仿宋" w:hAnsi="仿宋" w:eastAsia="仿宋" w:cs="仿宋"/>
          <w:spacing w:val="-71"/>
          <w:sz w:val="28"/>
          <w:szCs w:val="28"/>
        </w:rPr>
        <w:t xml:space="preserve"> </w:t>
      </w:r>
      <w:r>
        <w:rPr>
          <w:rFonts w:ascii="仿宋" w:hAnsi="仿宋" w:eastAsia="仿宋" w:cs="仿宋"/>
          <w:spacing w:val="-10"/>
          <w:sz w:val="28"/>
          <w:szCs w:val="28"/>
        </w:rPr>
        <w:t>一）参赛要求</w:t>
      </w:r>
    </w:p>
    <w:p w14:paraId="78D5F95B">
      <w:pPr>
        <w:spacing w:before="215" w:line="359" w:lineRule="auto"/>
        <w:ind w:left="23" w:firstLine="558"/>
        <w:rPr>
          <w:rFonts w:ascii="仿宋" w:hAnsi="仿宋" w:eastAsia="仿宋" w:cs="仿宋"/>
          <w:sz w:val="28"/>
          <w:szCs w:val="28"/>
        </w:rPr>
      </w:pPr>
      <w:r>
        <w:rPr>
          <w:rFonts w:ascii="仿宋" w:hAnsi="仿宋" w:eastAsia="仿宋" w:cs="仿宋"/>
          <w:spacing w:val="-3"/>
          <w:sz w:val="28"/>
          <w:szCs w:val="28"/>
        </w:rPr>
        <w:t>本赛项为师生联队方式的团体赛，参赛选手在报名获得确认后，</w:t>
      </w:r>
      <w:r>
        <w:rPr>
          <w:rFonts w:ascii="仿宋" w:hAnsi="仿宋" w:eastAsia="仿宋" w:cs="仿宋"/>
          <w:spacing w:val="8"/>
          <w:sz w:val="28"/>
          <w:szCs w:val="28"/>
        </w:rPr>
        <w:t xml:space="preserve"> </w:t>
      </w:r>
      <w:r>
        <w:rPr>
          <w:rFonts w:ascii="仿宋" w:hAnsi="仿宋" w:eastAsia="仿宋" w:cs="仿宋"/>
          <w:spacing w:val="-3"/>
          <w:sz w:val="28"/>
          <w:szCs w:val="28"/>
        </w:rPr>
        <w:t>原则上不再更换。如在筹备过程中，选手因故</w:t>
      </w:r>
      <w:r>
        <w:rPr>
          <w:rFonts w:ascii="仿宋" w:hAnsi="仿宋" w:eastAsia="仿宋" w:cs="仿宋"/>
          <w:spacing w:val="-4"/>
          <w:sz w:val="28"/>
          <w:szCs w:val="28"/>
        </w:rPr>
        <w:t>不能参赛，参赛学校主</w:t>
      </w:r>
      <w:r>
        <w:rPr>
          <w:rFonts w:ascii="仿宋" w:hAnsi="仿宋" w:eastAsia="仿宋" w:cs="仿宋"/>
          <w:sz w:val="28"/>
          <w:szCs w:val="28"/>
        </w:rPr>
        <w:t xml:space="preserve"> </w:t>
      </w:r>
      <w:r>
        <w:rPr>
          <w:rFonts w:ascii="仿宋" w:hAnsi="仿宋" w:eastAsia="仿宋" w:cs="仿宋"/>
          <w:spacing w:val="-3"/>
          <w:sz w:val="28"/>
          <w:szCs w:val="28"/>
        </w:rPr>
        <w:t>管部门需出具书面说明并按相关参赛选手资格补充人员并接受审核；</w:t>
      </w:r>
    </w:p>
    <w:p w14:paraId="6FEAAF74">
      <w:pPr>
        <w:spacing w:before="2" w:line="217" w:lineRule="auto"/>
        <w:ind w:left="32"/>
        <w:rPr>
          <w:rFonts w:ascii="仿宋" w:hAnsi="仿宋" w:eastAsia="仿宋" w:cs="仿宋"/>
          <w:sz w:val="28"/>
          <w:szCs w:val="28"/>
        </w:rPr>
      </w:pPr>
      <w:r>
        <w:rPr>
          <w:rFonts w:ascii="仿宋" w:hAnsi="仿宋" w:eastAsia="仿宋" w:cs="仿宋"/>
          <w:spacing w:val="-1"/>
          <w:sz w:val="28"/>
          <w:szCs w:val="28"/>
        </w:rPr>
        <w:t>竞赛开始后，参赛队不得更换参赛选手，允许队员缺席比赛。</w:t>
      </w:r>
    </w:p>
    <w:p w14:paraId="5970D796">
      <w:pPr>
        <w:snapToGrid w:val="0"/>
        <w:spacing w:line="360" w:lineRule="auto"/>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（二）报名要求</w:t>
      </w:r>
    </w:p>
    <w:p w14:paraId="79BBCD3E">
      <w:pPr>
        <w:spacing w:line="360" w:lineRule="auto"/>
        <w:ind w:firstLine="600"/>
        <w:rPr>
          <w:rFonts w:ascii="Calibri" w:hAnsi="Calibri" w:eastAsia="仿宋_GB2312"/>
          <w:sz w:val="28"/>
          <w:szCs w:val="28"/>
        </w:rPr>
      </w:pPr>
      <w:r>
        <w:rPr>
          <w:rFonts w:hint="eastAsia" w:ascii="Calibri" w:hAnsi="Calibri" w:eastAsia="仿宋_GB2312"/>
          <w:sz w:val="28"/>
          <w:szCs w:val="28"/>
        </w:rPr>
        <w:t>本赛项为团体赛，以院校为单位组织组队参赛，不允许跨校组队。</w:t>
      </w:r>
      <w:r>
        <w:rPr>
          <w:rFonts w:hint="eastAsia" w:ascii="仿宋_GB2312" w:eastAsia="仿宋_GB2312"/>
          <w:sz w:val="28"/>
        </w:rPr>
        <w:t>参赛选手在报名获得确认后，原则上不再更换。如在筹备过程中，选手因故不能参赛，参赛学校主管部门需出具书面说明并按相关参赛选手资格补充人员并接受审核；竞赛开始后，参赛队不得更换参赛选手，允许队员缺席比赛。</w:t>
      </w:r>
    </w:p>
    <w:bookmarkEnd w:id="4"/>
    <w:p w14:paraId="6DF23A34">
      <w:pPr>
        <w:snapToGrid w:val="0"/>
        <w:spacing w:line="360" w:lineRule="auto"/>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（三）赛前准备</w:t>
      </w:r>
    </w:p>
    <w:p w14:paraId="22687B9A">
      <w:pPr>
        <w:spacing w:line="360" w:lineRule="auto"/>
        <w:ind w:firstLine="600"/>
        <w:rPr>
          <w:rFonts w:ascii="Calibri" w:hAnsi="Calibri" w:eastAsia="仿宋_GB2312"/>
          <w:sz w:val="28"/>
          <w:szCs w:val="28"/>
        </w:rPr>
      </w:pPr>
      <w:r>
        <w:rPr>
          <w:rFonts w:hint="eastAsia" w:ascii="仿宋_GB2312" w:hAnsi="Calibri" w:eastAsia="仿宋_GB2312"/>
          <w:sz w:val="28"/>
          <w:szCs w:val="28"/>
        </w:rPr>
        <w:t>1.</w:t>
      </w:r>
      <w:r>
        <w:rPr>
          <w:rFonts w:hint="eastAsia" w:ascii="Calibri" w:hAnsi="Calibri" w:eastAsia="仿宋_GB2312"/>
          <w:sz w:val="28"/>
          <w:szCs w:val="28"/>
        </w:rPr>
        <w:t>参赛选手应在竞赛日程规定的时间熟悉竞赛场地，选手可进入竞赛场地及工位熟悉。</w:t>
      </w:r>
    </w:p>
    <w:p w14:paraId="77B4E11A">
      <w:pPr>
        <w:spacing w:line="360" w:lineRule="auto"/>
        <w:ind w:firstLine="600"/>
        <w:rPr>
          <w:rFonts w:ascii="Calibri" w:hAnsi="Calibri" w:eastAsia="仿宋_GB2312"/>
          <w:sz w:val="28"/>
          <w:szCs w:val="28"/>
        </w:rPr>
      </w:pPr>
      <w:r>
        <w:rPr>
          <w:rFonts w:hint="eastAsia" w:ascii="仿宋_GB2312" w:hAnsi="Calibri" w:eastAsia="仿宋_GB2312"/>
          <w:sz w:val="28"/>
          <w:szCs w:val="28"/>
        </w:rPr>
        <w:t>2.</w:t>
      </w:r>
      <w:r>
        <w:rPr>
          <w:rFonts w:hint="eastAsia" w:ascii="Calibri" w:hAnsi="Calibri" w:eastAsia="仿宋_GB2312"/>
          <w:sz w:val="28"/>
          <w:szCs w:val="28"/>
        </w:rPr>
        <w:t>参赛队熟悉竞赛场地后，认为所提供的设备、工具等不符合竞赛规定或有异议时，参赛队领队必须在</w:t>
      </w:r>
      <w:r>
        <w:rPr>
          <w:rFonts w:hint="eastAsia" w:ascii="仿宋_GB2312" w:hAnsi="Calibri" w:eastAsia="仿宋_GB2312"/>
          <w:sz w:val="28"/>
          <w:szCs w:val="28"/>
        </w:rPr>
        <w:t>2</w:t>
      </w:r>
      <w:r>
        <w:rPr>
          <w:rFonts w:hint="eastAsia" w:ascii="Calibri" w:hAnsi="Calibri" w:eastAsia="仿宋_GB2312"/>
          <w:sz w:val="28"/>
          <w:szCs w:val="28"/>
        </w:rPr>
        <w:t>小时内提出书面报告，送交赛项执委会进行处理，超过时效将不予受理。</w:t>
      </w:r>
    </w:p>
    <w:p w14:paraId="7A484CB7">
      <w:pPr>
        <w:snapToGrid w:val="0"/>
        <w:spacing w:line="360" w:lineRule="auto"/>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w:t>
      </w:r>
      <w:r>
        <w:rPr>
          <w:rFonts w:ascii="Arial Narrow" w:hAnsi="Arial Narrow" w:eastAsia="仿宋_GB2312" w:cs="Arial"/>
          <w:sz w:val="28"/>
          <w:szCs w:val="30"/>
        </w:rPr>
        <w:t>）正式比赛</w:t>
      </w:r>
    </w:p>
    <w:p w14:paraId="6CE6D3DE">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参赛选手须提前</w:t>
      </w:r>
      <w:r>
        <w:rPr>
          <w:rFonts w:ascii="仿宋_GB2312" w:hAnsi="Arial Narrow" w:eastAsia="仿宋_GB2312" w:cs="Arial"/>
          <w:sz w:val="28"/>
          <w:szCs w:val="30"/>
        </w:rPr>
        <w:t>20</w:t>
      </w:r>
      <w:r>
        <w:rPr>
          <w:rFonts w:hint="eastAsia" w:ascii="仿宋_GB2312" w:hAnsi="Arial Narrow" w:eastAsia="仿宋_GB2312" w:cs="Arial"/>
          <w:sz w:val="28"/>
          <w:szCs w:val="30"/>
        </w:rPr>
        <w:t>分钟入场，入场必须佩戴参赛证并出示身份证和学生证。不得私自携带任何软硬件工具（各种便携式电脑、各种移动存储设备等）、技术资源、通信工具。按工位号入座，检查比赛所需竞赛设备齐全后，由参赛选手签字确认方可开始比赛。选手在比赛中应注意随时存盘。迟到超过</w:t>
      </w:r>
      <w:r>
        <w:rPr>
          <w:rFonts w:ascii="仿宋_GB2312" w:hAnsi="Arial Narrow" w:eastAsia="仿宋_GB2312" w:cs="Arial"/>
          <w:sz w:val="28"/>
          <w:szCs w:val="30"/>
        </w:rPr>
        <w:t>10</w:t>
      </w:r>
      <w:r>
        <w:rPr>
          <w:rFonts w:hint="eastAsia" w:ascii="仿宋_GB2312" w:hAnsi="Arial Narrow" w:eastAsia="仿宋_GB2312" w:cs="Arial"/>
          <w:sz w:val="28"/>
          <w:szCs w:val="30"/>
        </w:rPr>
        <w:t>分钟不得入场。竞赛期间不准出场，竞赛结束后方可离场。</w:t>
      </w:r>
    </w:p>
    <w:p w14:paraId="49CA5D2E">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竞赛过程中，每个参赛队内部成员之间可以互相沟通，但不得向任何其它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14:paraId="7DE6E4C1">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竞赛过程中除裁判和其他必须进入考场的工作人员外，任何其它非竞赛选手不得进入竞赛场地。</w:t>
      </w:r>
    </w:p>
    <w:p w14:paraId="174FB69E">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竞赛结束（或提前完成）后，参赛队要确认成功提交竞赛要求的文件，裁判员与参赛队队长一起签字确认，参赛队在确认后不得再进行任何操作。</w:t>
      </w:r>
    </w:p>
    <w:p w14:paraId="2A895819">
      <w:pPr>
        <w:snapToGrid w:val="0"/>
        <w:spacing w:line="360" w:lineRule="auto"/>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（四）</w:t>
      </w:r>
      <w:r>
        <w:rPr>
          <w:rFonts w:ascii="Arial Narrow" w:hAnsi="Arial Narrow" w:eastAsia="仿宋_GB2312" w:cs="Arial"/>
          <w:sz w:val="28"/>
          <w:szCs w:val="30"/>
        </w:rPr>
        <w:t>成绩公布</w:t>
      </w:r>
    </w:p>
    <w:p w14:paraId="574795B2">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赛项成绩解密后汇总后，经裁判长签字，在赛项执委会指定的地点，以纸质形式向全体参赛队进行公布。</w:t>
      </w:r>
    </w:p>
    <w:p w14:paraId="713001C5">
      <w:pPr>
        <w:snapToGrid w:val="0"/>
        <w:spacing w:line="360" w:lineRule="auto"/>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（五</w:t>
      </w:r>
      <w:r>
        <w:rPr>
          <w:rFonts w:ascii="Arial Narrow" w:hAnsi="Arial Narrow" w:eastAsia="仿宋_GB2312" w:cs="Arial"/>
          <w:sz w:val="28"/>
          <w:szCs w:val="30"/>
        </w:rPr>
        <w:t>）</w:t>
      </w:r>
      <w:r>
        <w:rPr>
          <w:rFonts w:hint="eastAsia" w:ascii="Arial Narrow" w:hAnsi="Arial Narrow" w:eastAsia="仿宋_GB2312" w:cs="Arial"/>
          <w:sz w:val="28"/>
          <w:szCs w:val="30"/>
        </w:rPr>
        <w:t>其</w:t>
      </w:r>
      <w:r>
        <w:rPr>
          <w:rFonts w:ascii="Arial Narrow" w:hAnsi="Arial Narrow" w:eastAsia="仿宋_GB2312" w:cs="Arial"/>
          <w:sz w:val="28"/>
          <w:szCs w:val="30"/>
        </w:rPr>
        <w:t>他</w:t>
      </w:r>
    </w:p>
    <w:p w14:paraId="3BBE03B6">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参赛选手应严格遵守赛场纪律，服从指挥，着装整洁，仪表端庄，讲文明礼貌。各地代表队之间应团结、友好、协作，避免各种矛盾发生。</w:t>
      </w:r>
    </w:p>
    <w:p w14:paraId="488B6AC2">
      <w:pPr>
        <w:spacing w:line="360" w:lineRule="auto"/>
        <w:ind w:firstLine="560" w:firstLineChars="200"/>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其它未尽事宜，将在竞赛指南或赛前说明会向各领队做详细说明。</w:t>
      </w:r>
    </w:p>
    <w:p w14:paraId="597D7897">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七、技术规范</w:t>
      </w:r>
    </w:p>
    <w:p w14:paraId="1A80632E">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本赛项参照已经颁布实施、处在有效期内的标准与规范如下所示：</w:t>
      </w:r>
    </w:p>
    <w:p w14:paraId="28D469F3">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1． 国际相关标准与规范</w:t>
      </w:r>
    </w:p>
    <w:p w14:paraId="6B1EED23">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IEC 62443-2-1IACA《安全管理系统的要求》</w:t>
      </w:r>
    </w:p>
    <w:p w14:paraId="10D7A48F">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2． 国家、行业技术标准与规范</w:t>
      </w:r>
    </w:p>
    <w:p w14:paraId="077D3108">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GB/T 26336-2010《工业通信网络工业环境中的通信网络安装》</w:t>
      </w:r>
    </w:p>
    <w:p w14:paraId="74009AB5">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 xml:space="preserve">GB/T 42021-2022 </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总体网络架构</w:t>
      </w:r>
    </w:p>
    <w:p w14:paraId="38570025">
      <w:pPr>
        <w:snapToGrid w:val="0"/>
        <w:spacing w:line="360" w:lineRule="auto"/>
        <w:rPr>
          <w:rFonts w:ascii="仿宋_GB2312" w:hAnsi="Arial Narrow" w:eastAsia="仿宋_GB2312" w:cs="Arial"/>
          <w:sz w:val="28"/>
          <w:szCs w:val="30"/>
        </w:rPr>
      </w:pPr>
      <w:r>
        <w:rPr>
          <w:rFonts w:ascii="仿宋_GB2312" w:hAnsi="Arial Narrow" w:eastAsia="仿宋_GB2312" w:cs="Arial"/>
          <w:sz w:val="28"/>
          <w:szCs w:val="30"/>
        </w:rPr>
        <w:t>GB/T 23031.1-2022《</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平台应用实施指南 第 1 部分：</w:t>
      </w:r>
    </w:p>
    <w:p w14:paraId="00936517">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总则》</w:t>
      </w:r>
    </w:p>
    <w:p w14:paraId="446799E8">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GB/T 41870-2022《</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平台企业应用水平与绩效评价》</w:t>
      </w:r>
    </w:p>
    <w:p w14:paraId="255FD7B1">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GB/T 15969.1-2007/IEC 61131-1 可编程序控制器第 1 部分：通</w:t>
      </w:r>
    </w:p>
    <w:p w14:paraId="3EBFC12A">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用信息</w:t>
      </w:r>
    </w:p>
    <w:p w14:paraId="5B1D72DF">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GB 50311-2016 综合布线系统工程设计规范</w:t>
      </w:r>
    </w:p>
    <w:p w14:paraId="1956CB24">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GB/T 14048 3《低压开关设备和控制设备》</w:t>
      </w:r>
    </w:p>
    <w:p w14:paraId="72183EC9">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GB/T 34068-2017 物联网总体技术智能传感器接口规范</w:t>
      </w:r>
    </w:p>
    <w:p w14:paraId="570A276A">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 xml:space="preserve">GB/T30976.1 </w:t>
      </w:r>
      <w:r>
        <w:rPr>
          <w:rFonts w:hint="eastAsia" w:ascii="宋体" w:hAnsi="宋体" w:cs="宋体"/>
          <w:sz w:val="28"/>
          <w:szCs w:val="30"/>
        </w:rPr>
        <w:t>∽</w:t>
      </w:r>
      <w:r>
        <w:rPr>
          <w:rFonts w:ascii="仿宋_GB2312" w:hAnsi="Arial Narrow" w:eastAsia="仿宋_GB2312" w:cs="Arial"/>
          <w:sz w:val="28"/>
          <w:szCs w:val="30"/>
        </w:rPr>
        <w:t xml:space="preserve"> 30976.2《工业控制信息系统安全》</w:t>
      </w:r>
    </w:p>
    <w:p w14:paraId="279AE4A8">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 xml:space="preserve">GB/T30976.1 </w:t>
      </w:r>
      <w:r>
        <w:rPr>
          <w:rFonts w:hint="eastAsia" w:ascii="宋体" w:hAnsi="宋体" w:cs="宋体"/>
          <w:sz w:val="28"/>
          <w:szCs w:val="30"/>
        </w:rPr>
        <w:t>∽</w:t>
      </w:r>
      <w:r>
        <w:rPr>
          <w:rFonts w:ascii="仿宋_GB2312" w:hAnsi="Arial Narrow" w:eastAsia="仿宋_GB2312" w:cs="Arial"/>
          <w:sz w:val="28"/>
          <w:szCs w:val="30"/>
        </w:rPr>
        <w:t xml:space="preserve"> 30976.2《信息技术数据质量评价指标》</w:t>
      </w:r>
    </w:p>
    <w:p w14:paraId="764BBD38">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GB/T 35115-2017《工厂自动化能效》</w:t>
      </w:r>
    </w:p>
    <w:p w14:paraId="25874557">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AII/001-2021《</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标识解析二级节点技术要求》</w:t>
      </w:r>
    </w:p>
    <w:p w14:paraId="55D0D325">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AII/004-2018《</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平台安全防护要求》</w:t>
      </w:r>
    </w:p>
    <w:p w14:paraId="567381D1">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AII/004-2017 《</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导则设备智能化》</w:t>
      </w:r>
    </w:p>
    <w:p w14:paraId="0A8D0693">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3．职业资格标准与规范</w:t>
      </w:r>
    </w:p>
    <w:p w14:paraId="2832D906">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2-02-10-13《</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工程技术人员国家职业技术技能标准》</w:t>
      </w:r>
    </w:p>
    <w:p w14:paraId="5C375DCE">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2-02-07-13《智能制造工程技术人员国家职业技术技能标准》</w:t>
      </w:r>
    </w:p>
    <w:p w14:paraId="40957BC9">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T/MIITEC 003-2020《</w:t>
      </w:r>
      <w:r>
        <w:rPr>
          <w:rFonts w:hint="eastAsia" w:ascii="仿宋_GB2312" w:hAnsi="Arial Narrow" w:eastAsia="仿宋_GB2312" w:cs="Arial"/>
          <w:sz w:val="28"/>
          <w:szCs w:val="30"/>
          <w:lang w:eastAsia="zh-CN"/>
        </w:rPr>
        <w:t>智能机器全景应用</w:t>
      </w:r>
      <w:r>
        <w:rPr>
          <w:rFonts w:ascii="仿宋_GB2312" w:hAnsi="Arial Narrow" w:eastAsia="仿宋_GB2312" w:cs="Arial"/>
          <w:sz w:val="28"/>
          <w:szCs w:val="30"/>
        </w:rPr>
        <w:t>产业人才岗位能力要求》</w:t>
      </w:r>
    </w:p>
    <w:p w14:paraId="6278F7C7">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八、技术环境</w:t>
      </w:r>
    </w:p>
    <w:p w14:paraId="474B37E7">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1.</w:t>
      </w:r>
      <w:r>
        <w:rPr>
          <w:rFonts w:hint="eastAsia" w:ascii="仿宋_GB2312" w:hAnsi="Arial Narrow" w:eastAsia="仿宋_GB2312" w:cs="Arial"/>
          <w:sz w:val="28"/>
          <w:szCs w:val="30"/>
        </w:rPr>
        <w:t>竞赛场地。竞赛现场设置竞赛区、裁判区、服务区、技术支持区。现场保证良好的采光、照明和通风；提供稳定的水、电和供电应急设备。同时提供所有指导教师休息室1间。</w:t>
      </w:r>
    </w:p>
    <w:p w14:paraId="755C38F9">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2.</w:t>
      </w:r>
      <w:r>
        <w:rPr>
          <w:rFonts w:hint="eastAsia" w:ascii="仿宋_GB2312" w:hAnsi="Arial Narrow" w:eastAsia="仿宋_GB2312" w:cs="Arial"/>
          <w:sz w:val="28"/>
          <w:szCs w:val="30"/>
        </w:rPr>
        <w:t>竞赛设备。所有竞赛设备由大赛合作企业与承办校负责提供和保障，按照参赛队数量准备比赛所需的软硬件平台，为参赛队提供标准竞赛设备。</w:t>
      </w:r>
    </w:p>
    <w:p w14:paraId="034BED1D">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3.</w:t>
      </w:r>
      <w:r>
        <w:rPr>
          <w:rFonts w:hint="eastAsia" w:ascii="仿宋_GB2312" w:hAnsi="Arial Narrow" w:eastAsia="仿宋_GB2312" w:cs="Arial"/>
          <w:sz w:val="28"/>
          <w:szCs w:val="30"/>
        </w:rPr>
        <w:t>竞赛工位。竞赛现场各个工作区配备单相220V/3A以上交流电源。每个比赛工位上标明编号。每个比赛间配有工作台，用于摆放计算机和其它调试设备工具等。配备</w:t>
      </w:r>
      <w:r>
        <w:rPr>
          <w:rFonts w:ascii="仿宋_GB2312" w:hAnsi="Arial Narrow" w:eastAsia="仿宋_GB2312" w:cs="Arial"/>
          <w:sz w:val="28"/>
          <w:szCs w:val="30"/>
        </w:rPr>
        <w:t>2</w:t>
      </w:r>
      <w:r>
        <w:rPr>
          <w:rFonts w:hint="eastAsia" w:ascii="仿宋_GB2312" w:hAnsi="Arial Narrow" w:eastAsia="仿宋_GB2312" w:cs="Arial"/>
          <w:sz w:val="28"/>
          <w:szCs w:val="30"/>
          <w:lang w:val="en-US" w:eastAsia="zh-CN"/>
        </w:rPr>
        <w:t>-4</w:t>
      </w:r>
      <w:r>
        <w:rPr>
          <w:rFonts w:hint="eastAsia" w:ascii="仿宋_GB2312" w:hAnsi="Arial Narrow" w:eastAsia="仿宋_GB2312" w:cs="Arial"/>
          <w:sz w:val="28"/>
          <w:szCs w:val="30"/>
        </w:rPr>
        <w:t>把工作椅（凳）。</w:t>
      </w:r>
    </w:p>
    <w:p w14:paraId="35503267">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4.</w:t>
      </w:r>
      <w:r>
        <w:rPr>
          <w:rFonts w:hint="eastAsia" w:ascii="仿宋_GB2312" w:hAnsi="Arial Narrow" w:eastAsia="仿宋_GB2312" w:cs="Arial"/>
          <w:sz w:val="28"/>
          <w:szCs w:val="30"/>
        </w:rPr>
        <w:t>技术支持区为参赛选手提供公用备</w:t>
      </w:r>
      <w:r>
        <w:rPr>
          <w:rFonts w:ascii="仿宋_GB2312" w:hAnsi="Arial Narrow" w:eastAsia="仿宋_GB2312" w:cs="Arial"/>
          <w:sz w:val="28"/>
          <w:szCs w:val="30"/>
        </w:rPr>
        <w:t>件</w:t>
      </w:r>
      <w:r>
        <w:rPr>
          <w:rFonts w:hint="eastAsia" w:ascii="仿宋_GB2312" w:hAnsi="Arial Narrow" w:eastAsia="仿宋_GB2312" w:cs="Arial"/>
          <w:sz w:val="28"/>
          <w:szCs w:val="30"/>
        </w:rPr>
        <w:t>等竞赛相关设备。</w:t>
      </w:r>
    </w:p>
    <w:p w14:paraId="75AE8C14">
      <w:pPr>
        <w:snapToGrid w:val="0"/>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5.</w:t>
      </w:r>
      <w:r>
        <w:rPr>
          <w:rFonts w:hint="eastAsia" w:ascii="仿宋_GB2312" w:hAnsi="Arial Narrow" w:eastAsia="仿宋_GB2312" w:cs="Arial"/>
          <w:sz w:val="28"/>
          <w:szCs w:val="30"/>
        </w:rPr>
        <w:t>服务区提供医疗等服务保障。</w:t>
      </w:r>
    </w:p>
    <w:p w14:paraId="4AE9BC56">
      <w:pPr>
        <w:spacing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赛场开放。竞赛环境依据竞赛需求设计，在竞赛不被干扰的前提下赛场面向媒体、行业专家等开放。允许媒体、行业专家等在规定的时段内沿指定路线进行现场参观。</w:t>
      </w:r>
    </w:p>
    <w:p w14:paraId="6933191C">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九、竞赛试题</w:t>
      </w:r>
    </w:p>
    <w:p w14:paraId="5FAA65FD">
      <w:pPr>
        <w:snapToGrid w:val="0"/>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本赛项的命题工作由赛项执委会指定的命题专家组负责，按照竞赛规程的内容要求，在方向和难度上依据教育部颁发的职业院校相关专业人才培养标准和国家职业标准，结合高职</w:t>
      </w:r>
      <w:r>
        <w:rPr>
          <w:rFonts w:hint="eastAsia" w:ascii="仿宋_GB2312" w:hAnsi="Arial Narrow" w:eastAsia="仿宋_GB2312" w:cs="Arial"/>
          <w:sz w:val="28"/>
          <w:szCs w:val="30"/>
          <w:lang w:val="en-US" w:eastAsia="zh-CN"/>
        </w:rPr>
        <w:t>人工智能</w:t>
      </w:r>
      <w:r>
        <w:rPr>
          <w:rFonts w:hint="eastAsia" w:ascii="仿宋_GB2312" w:hAnsi="Arial Narrow" w:eastAsia="仿宋_GB2312" w:cs="Arial"/>
          <w:sz w:val="28"/>
          <w:szCs w:val="30"/>
        </w:rPr>
        <w:t>人才培养要求和</w:t>
      </w:r>
      <w:r>
        <w:rPr>
          <w:rFonts w:hint="eastAsia" w:ascii="仿宋_GB2312" w:hAnsi="Arial Narrow" w:eastAsia="仿宋_GB2312" w:cs="Arial"/>
          <w:sz w:val="28"/>
          <w:szCs w:val="30"/>
          <w:lang w:eastAsia="zh-CN"/>
        </w:rPr>
        <w:t>智能机器</w:t>
      </w:r>
      <w:r>
        <w:rPr>
          <w:rFonts w:hint="eastAsia" w:ascii="仿宋_GB2312" w:hAnsi="Arial Narrow" w:eastAsia="仿宋_GB2312" w:cs="Arial"/>
          <w:sz w:val="28"/>
          <w:szCs w:val="30"/>
          <w:lang w:val="en-US" w:eastAsia="zh-CN"/>
        </w:rPr>
        <w:t>人</w:t>
      </w:r>
      <w:r>
        <w:rPr>
          <w:rFonts w:hint="eastAsia" w:ascii="仿宋_GB2312" w:hAnsi="Arial Narrow" w:eastAsia="仿宋_GB2312" w:cs="Arial"/>
          <w:sz w:val="28"/>
          <w:szCs w:val="30"/>
          <w:lang w:eastAsia="zh-CN"/>
        </w:rPr>
        <w:t>应用</w:t>
      </w:r>
      <w:r>
        <w:rPr>
          <w:rFonts w:hint="eastAsia" w:ascii="仿宋_GB2312" w:hAnsi="Arial Narrow" w:eastAsia="仿宋_GB2312" w:cs="Arial"/>
          <w:sz w:val="28"/>
          <w:szCs w:val="30"/>
        </w:rPr>
        <w:t>企业岗位需要进行设计，命题专家在完成命题后，交由赛项执委会指定的专家进行审核。</w:t>
      </w:r>
    </w:p>
    <w:p w14:paraId="4DFBF34B">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十、技术平台</w:t>
      </w:r>
    </w:p>
    <w:p w14:paraId="0A2010B9">
      <w:pPr>
        <w:spacing w:before="130" w:line="360" w:lineRule="auto"/>
        <w:ind w:left="535"/>
        <w:outlineLvl w:val="0"/>
        <w:rPr>
          <w:rFonts w:ascii="仿宋_GB2312" w:hAnsi="Arial Narrow" w:eastAsia="仿宋_GB2312" w:cs="Arial"/>
          <w:sz w:val="28"/>
          <w:szCs w:val="30"/>
        </w:rPr>
      </w:pPr>
      <w:r>
        <w:rPr>
          <w:rFonts w:ascii="仿宋" w:hAnsi="仿宋" w:eastAsia="仿宋" w:cs="仿宋"/>
          <w:spacing w:val="-10"/>
          <w:sz w:val="28"/>
          <w:szCs w:val="28"/>
        </w:rPr>
        <w:t>（</w:t>
      </w:r>
      <w:r>
        <w:rPr>
          <w:rFonts w:ascii="仿宋_GB2312" w:hAnsi="Arial Narrow" w:eastAsia="仿宋_GB2312" w:cs="Arial"/>
          <w:sz w:val="28"/>
          <w:szCs w:val="30"/>
        </w:rPr>
        <w:t>一）竞赛环境</w:t>
      </w:r>
    </w:p>
    <w:p w14:paraId="29E7E443">
      <w:pPr>
        <w:spacing w:before="215"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1.竞赛场地：设竞赛区、裁判区、服务区、技术支持区。提供稳定的电、气和应急供电设备。</w:t>
      </w:r>
    </w:p>
    <w:p w14:paraId="540AEFAF">
      <w:pPr>
        <w:spacing w:before="214"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2.竞赛设备：由大赛合作企业与承办单位负责，按照参赛队</w:t>
      </w:r>
      <w:r>
        <w:rPr>
          <w:rFonts w:hint="eastAsia" w:ascii="仿宋_GB2312" w:hAnsi="Arial Narrow" w:eastAsia="仿宋_GB2312" w:cs="Arial"/>
          <w:sz w:val="28"/>
          <w:szCs w:val="30"/>
        </w:rPr>
        <w:t>数</w:t>
      </w:r>
      <w:r>
        <w:rPr>
          <w:rFonts w:ascii="仿宋_GB2312" w:hAnsi="Arial Narrow" w:eastAsia="仿宋_GB2312" w:cs="Arial"/>
          <w:sz w:val="28"/>
          <w:szCs w:val="30"/>
        </w:rPr>
        <w:t>量准备。</w:t>
      </w:r>
    </w:p>
    <w:p w14:paraId="16F890F0">
      <w:pPr>
        <w:spacing w:before="216" w:line="360" w:lineRule="auto"/>
        <w:ind w:firstLine="560" w:firstLineChars="200"/>
        <w:rPr>
          <w:rFonts w:ascii="仿宋_GB2312" w:hAnsi="Arial Narrow" w:eastAsia="仿宋_GB2312" w:cs="Arial"/>
          <w:sz w:val="28"/>
          <w:szCs w:val="30"/>
        </w:rPr>
      </w:pPr>
      <w:r>
        <w:rPr>
          <w:rFonts w:ascii="仿宋_GB2312" w:hAnsi="Arial Narrow" w:eastAsia="仿宋_GB2312" w:cs="Arial"/>
          <w:sz w:val="28"/>
          <w:szCs w:val="30"/>
        </w:rPr>
        <w:t>3.竞赛赛位：每个赛位标明编号，赛位面积约10㎡，配备：</w:t>
      </w:r>
      <w:r>
        <w:rPr>
          <w:rFonts w:hint="eastAsia" w:ascii="仿宋_GB2312" w:hAnsi="Arial Narrow" w:eastAsia="仿宋_GB2312" w:cs="Arial"/>
          <w:sz w:val="28"/>
          <w:szCs w:val="30"/>
        </w:rPr>
        <w:t>计算机</w:t>
      </w:r>
      <w:r>
        <w:rPr>
          <w:rFonts w:hint="eastAsia" w:ascii="仿宋_GB2312" w:hAnsi="Arial Narrow" w:eastAsia="仿宋_GB2312" w:cs="Arial"/>
          <w:sz w:val="28"/>
          <w:szCs w:val="30"/>
          <w:lang w:val="en-US" w:eastAsia="zh-CN"/>
        </w:rPr>
        <w:t>4</w:t>
      </w:r>
      <w:r>
        <w:rPr>
          <w:rFonts w:hint="eastAsia" w:ascii="仿宋_GB2312" w:hAnsi="Arial Narrow" w:eastAsia="仿宋_GB2312" w:cs="Arial"/>
          <w:sz w:val="28"/>
          <w:szCs w:val="30"/>
        </w:rPr>
        <w:t>台，竞赛</w:t>
      </w:r>
      <w:r>
        <w:rPr>
          <w:rFonts w:hint="eastAsia" w:ascii="仿宋_GB2312" w:hAnsi="Arial Narrow" w:eastAsia="仿宋_GB2312" w:cs="Arial"/>
          <w:sz w:val="28"/>
          <w:szCs w:val="30"/>
          <w:lang w:val="en-US" w:eastAsia="zh-CN"/>
        </w:rPr>
        <w:t>开发</w:t>
      </w:r>
      <w:r>
        <w:rPr>
          <w:rFonts w:hint="eastAsia" w:ascii="仿宋_GB2312" w:hAnsi="Arial Narrow" w:eastAsia="仿宋_GB2312" w:cs="Arial"/>
          <w:sz w:val="28"/>
          <w:szCs w:val="30"/>
        </w:rPr>
        <w:t>平台</w:t>
      </w:r>
      <w:r>
        <w:rPr>
          <w:rFonts w:hint="eastAsia" w:ascii="仿宋_GB2312" w:hAnsi="Arial Narrow" w:eastAsia="仿宋_GB2312" w:cs="Arial"/>
          <w:sz w:val="28"/>
          <w:szCs w:val="30"/>
          <w:lang w:val="en-US" w:eastAsia="zh-CN"/>
        </w:rPr>
        <w:t>2</w:t>
      </w:r>
      <w:r>
        <w:rPr>
          <w:rFonts w:hint="eastAsia" w:ascii="仿宋_GB2312" w:hAnsi="Arial Narrow" w:eastAsia="仿宋_GB2312" w:cs="Arial"/>
          <w:sz w:val="28"/>
          <w:szCs w:val="30"/>
        </w:rPr>
        <w:t>套，提供局域网环境。配 AC220V/10A 电源。</w:t>
      </w:r>
    </w:p>
    <w:p w14:paraId="2C6DF6D7">
      <w:pPr>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4.技术支持区为参赛选手提供公用备件等竞赛相关设备。</w:t>
      </w:r>
    </w:p>
    <w:p w14:paraId="602F5CB6">
      <w:pPr>
        <w:spacing w:line="360" w:lineRule="auto"/>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5.服务区提供医疗等服务保障。</w:t>
      </w:r>
    </w:p>
    <w:p w14:paraId="76223BE9">
      <w:pPr>
        <w:spacing w:before="130" w:line="218" w:lineRule="auto"/>
        <w:ind w:left="535"/>
        <w:outlineLvl w:val="0"/>
        <w:rPr>
          <w:rFonts w:ascii="仿宋" w:hAnsi="仿宋" w:eastAsia="仿宋" w:cs="仿宋"/>
          <w:spacing w:val="-10"/>
          <w:sz w:val="28"/>
          <w:szCs w:val="28"/>
        </w:rPr>
      </w:pPr>
      <w:r>
        <w:rPr>
          <w:rFonts w:ascii="仿宋" w:hAnsi="仿宋" w:eastAsia="仿宋" w:cs="仿宋"/>
          <w:spacing w:val="-10"/>
          <w:sz w:val="28"/>
          <w:szCs w:val="28"/>
        </w:rPr>
        <w:t>（二）技术平台基本要求</w:t>
      </w:r>
    </w:p>
    <w:tbl>
      <w:tblPr>
        <w:tblStyle w:val="22"/>
        <w:tblW w:w="84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8"/>
        <w:gridCol w:w="2122"/>
        <w:gridCol w:w="851"/>
        <w:gridCol w:w="4738"/>
      </w:tblGrid>
      <w:tr w14:paraId="45E86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708" w:type="dxa"/>
          </w:tcPr>
          <w:p w14:paraId="11094C00">
            <w:pPr>
              <w:spacing w:before="42" w:line="206" w:lineRule="auto"/>
              <w:ind w:left="117"/>
              <w:rPr>
                <w:rFonts w:ascii="仿宋" w:hAnsi="仿宋" w:eastAsia="仿宋" w:cs="仿宋"/>
                <w:snapToGrid w:val="0"/>
                <w:color w:val="000000"/>
                <w:sz w:val="24"/>
                <w:szCs w:val="24"/>
                <w:lang w:eastAsia="en-US"/>
              </w:rPr>
            </w:pPr>
            <w:r>
              <w:rPr>
                <w:rFonts w:ascii="仿宋" w:hAnsi="仿宋" w:eastAsia="仿宋" w:cs="仿宋"/>
                <w:snapToGrid w:val="0"/>
                <w:color w:val="000000"/>
                <w:spacing w:val="-4"/>
                <w:sz w:val="24"/>
                <w:szCs w:val="24"/>
                <w:lang w:eastAsia="en-US"/>
                <w14:textOutline w14:w="4356" w14:cap="sq" w14:cmpd="sng" w14:algn="ctr">
                  <w14:solidFill>
                    <w14:srgbClr w14:val="000000"/>
                  </w14:solidFill>
                  <w14:prstDash w14:val="solid"/>
                  <w14:bevel/>
                </w14:textOutline>
              </w:rPr>
              <w:t>序号</w:t>
            </w:r>
          </w:p>
        </w:tc>
        <w:tc>
          <w:tcPr>
            <w:tcW w:w="2122" w:type="dxa"/>
          </w:tcPr>
          <w:p w14:paraId="3643412F">
            <w:pPr>
              <w:spacing w:before="42" w:line="206" w:lineRule="auto"/>
              <w:ind w:left="515"/>
              <w:rPr>
                <w:rFonts w:ascii="仿宋" w:hAnsi="仿宋" w:eastAsia="仿宋" w:cs="仿宋"/>
                <w:snapToGrid w:val="0"/>
                <w:color w:val="000000"/>
                <w:sz w:val="24"/>
                <w:szCs w:val="24"/>
                <w:lang w:eastAsia="en-US"/>
              </w:rPr>
            </w:pPr>
            <w:r>
              <w:rPr>
                <w:rFonts w:ascii="仿宋" w:hAnsi="仿宋" w:eastAsia="仿宋" w:cs="仿宋"/>
                <w:snapToGrid w:val="0"/>
                <w:color w:val="000000"/>
                <w:spacing w:val="-2"/>
                <w:sz w:val="24"/>
                <w:szCs w:val="24"/>
                <w:lang w:eastAsia="en-US"/>
                <w14:textOutline w14:w="4356" w14:cap="sq" w14:cmpd="sng" w14:algn="ctr">
                  <w14:solidFill>
                    <w14:srgbClr w14:val="000000"/>
                  </w14:solidFill>
                  <w14:prstDash w14:val="solid"/>
                  <w14:bevel/>
                </w14:textOutline>
              </w:rPr>
              <w:t>产品名称</w:t>
            </w:r>
          </w:p>
        </w:tc>
        <w:tc>
          <w:tcPr>
            <w:tcW w:w="851" w:type="dxa"/>
          </w:tcPr>
          <w:p w14:paraId="5897FADF">
            <w:pPr>
              <w:spacing w:before="42" w:line="206" w:lineRule="auto"/>
              <w:ind w:left="196"/>
              <w:rPr>
                <w:rFonts w:ascii="仿宋" w:hAnsi="仿宋" w:eastAsia="仿宋" w:cs="仿宋"/>
                <w:snapToGrid w:val="0"/>
                <w:color w:val="000000"/>
                <w:sz w:val="24"/>
                <w:szCs w:val="24"/>
                <w:lang w:eastAsia="en-US"/>
              </w:rPr>
            </w:pPr>
            <w:r>
              <w:rPr>
                <w:rFonts w:ascii="仿宋" w:hAnsi="仿宋" w:eastAsia="仿宋" w:cs="仿宋"/>
                <w:snapToGrid w:val="0"/>
                <w:color w:val="000000"/>
                <w:spacing w:val="-8"/>
                <w:sz w:val="24"/>
                <w:szCs w:val="24"/>
                <w:lang w:eastAsia="en-US"/>
                <w14:textOutline w14:w="4356" w14:cap="sq" w14:cmpd="sng" w14:algn="ctr">
                  <w14:solidFill>
                    <w14:srgbClr w14:val="000000"/>
                  </w14:solidFill>
                  <w14:prstDash w14:val="solid"/>
                  <w14:bevel/>
                </w14:textOutline>
              </w:rPr>
              <w:t>数量</w:t>
            </w:r>
          </w:p>
        </w:tc>
        <w:tc>
          <w:tcPr>
            <w:tcW w:w="4738" w:type="dxa"/>
          </w:tcPr>
          <w:p w14:paraId="1803EE58">
            <w:pPr>
              <w:spacing w:before="42" w:line="206" w:lineRule="auto"/>
              <w:ind w:left="1969"/>
              <w:rPr>
                <w:rFonts w:ascii="仿宋" w:hAnsi="仿宋" w:eastAsia="仿宋" w:cs="仿宋"/>
                <w:snapToGrid w:val="0"/>
                <w:color w:val="000000"/>
                <w:sz w:val="24"/>
                <w:szCs w:val="24"/>
                <w:lang w:eastAsia="en-US"/>
              </w:rPr>
            </w:pPr>
            <w:r>
              <w:rPr>
                <w:rFonts w:ascii="仿宋" w:hAnsi="仿宋" w:eastAsia="仿宋" w:cs="仿宋"/>
                <w:snapToGrid w:val="0"/>
                <w:color w:val="000000"/>
                <w:spacing w:val="-4"/>
                <w:sz w:val="24"/>
                <w:szCs w:val="24"/>
                <w:lang w:eastAsia="en-US"/>
                <w14:textOutline w14:w="4356" w14:cap="sq" w14:cmpd="sng" w14:algn="ctr">
                  <w14:solidFill>
                    <w14:srgbClr w14:val="000000"/>
                  </w14:solidFill>
                  <w14:prstDash w14:val="solid"/>
                  <w14:bevel/>
                </w14:textOutline>
              </w:rPr>
              <w:t>功能描述</w:t>
            </w:r>
          </w:p>
        </w:tc>
      </w:tr>
      <w:tr w14:paraId="2861F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8" w:type="dxa"/>
          </w:tcPr>
          <w:p w14:paraId="1D31250D">
            <w:pPr>
              <w:spacing w:before="225" w:line="180" w:lineRule="auto"/>
              <w:ind w:left="316"/>
              <w:rPr>
                <w:rFonts w:ascii="仿宋_GB2312" w:hAnsi="Arial Narrow" w:eastAsia="仿宋_GB2312" w:cs="Arial"/>
                <w:snapToGrid/>
                <w:color w:val="auto"/>
                <w:sz w:val="28"/>
                <w:szCs w:val="30"/>
                <w:lang w:eastAsia="zh-CN"/>
              </w:rPr>
            </w:pPr>
            <w:r>
              <w:rPr>
                <w:rFonts w:ascii="仿宋_GB2312" w:hAnsi="Arial Narrow" w:eastAsia="仿宋_GB2312" w:cs="Arial"/>
                <w:snapToGrid/>
                <w:color w:val="auto"/>
                <w:sz w:val="28"/>
                <w:szCs w:val="30"/>
                <w:lang w:eastAsia="zh-CN"/>
              </w:rPr>
              <w:t>1</w:t>
            </w:r>
          </w:p>
        </w:tc>
        <w:tc>
          <w:tcPr>
            <w:tcW w:w="2122" w:type="dxa"/>
          </w:tcPr>
          <w:p w14:paraId="5770B940">
            <w:pPr>
              <w:spacing w:before="39" w:line="222" w:lineRule="auto"/>
              <w:ind w:left="117" w:right="196"/>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eastAsia="zh-CN"/>
              </w:rPr>
              <w:t>智能机器全景应用技术开发</w:t>
            </w:r>
            <w:r>
              <w:rPr>
                <w:rFonts w:hint="eastAsia" w:ascii="仿宋_GB2312" w:hAnsi="Arial Narrow" w:eastAsia="仿宋_GB2312" w:cs="Arial"/>
                <w:snapToGrid/>
                <w:color w:val="auto"/>
                <w:sz w:val="28"/>
                <w:szCs w:val="30"/>
                <w:lang w:val="en-US" w:eastAsia="zh-CN"/>
              </w:rPr>
              <w:t>机器人</w:t>
            </w:r>
          </w:p>
        </w:tc>
        <w:tc>
          <w:tcPr>
            <w:tcW w:w="851" w:type="dxa"/>
          </w:tcPr>
          <w:p w14:paraId="7644A094">
            <w:pPr>
              <w:spacing w:before="194" w:line="221" w:lineRule="auto"/>
              <w:ind w:left="236"/>
              <w:rPr>
                <w:rFonts w:ascii="仿宋_GB2312" w:hAnsi="Arial Narrow" w:eastAsia="仿宋_GB2312" w:cs="Arial"/>
                <w:snapToGrid/>
                <w:color w:val="auto"/>
                <w:sz w:val="28"/>
                <w:szCs w:val="30"/>
                <w:lang w:eastAsia="zh-CN"/>
              </w:rPr>
            </w:pPr>
            <w:r>
              <w:rPr>
                <w:rFonts w:ascii="仿宋_GB2312" w:hAnsi="Arial Narrow" w:eastAsia="仿宋_GB2312" w:cs="Arial"/>
                <w:snapToGrid/>
                <w:color w:val="auto"/>
                <w:sz w:val="28"/>
                <w:szCs w:val="30"/>
                <w:lang w:eastAsia="zh-CN"/>
              </w:rPr>
              <w:t>1 套</w:t>
            </w:r>
          </w:p>
        </w:tc>
        <w:tc>
          <w:tcPr>
            <w:tcW w:w="4738" w:type="dxa"/>
          </w:tcPr>
          <w:p w14:paraId="4B300504">
            <w:pPr>
              <w:spacing w:before="39" w:line="222" w:lineRule="auto"/>
              <w:ind w:left="136" w:right="108" w:hanging="14"/>
              <w:rPr>
                <w:rFonts w:ascii="仿宋_GB2312" w:hAnsi="Arial Narrow" w:eastAsia="仿宋_GB2312" w:cs="Arial"/>
                <w:snapToGrid/>
                <w:color w:val="auto"/>
                <w:sz w:val="28"/>
                <w:szCs w:val="30"/>
                <w:lang w:eastAsia="zh-CN"/>
              </w:rPr>
            </w:pPr>
            <w:r>
              <w:rPr>
                <w:rFonts w:ascii="仿宋_GB2312" w:hAnsi="Arial Narrow" w:eastAsia="仿宋_GB2312" w:cs="Arial"/>
                <w:snapToGrid/>
                <w:color w:val="auto"/>
                <w:sz w:val="28"/>
                <w:szCs w:val="30"/>
                <w:lang w:eastAsia="zh-CN"/>
              </w:rPr>
              <w:t>符合</w:t>
            </w:r>
            <w:r>
              <w:rPr>
                <w:rFonts w:hint="eastAsia" w:ascii="仿宋_GB2312" w:hAnsi="Arial Narrow" w:eastAsia="仿宋_GB2312" w:cs="Arial"/>
                <w:snapToGrid/>
                <w:color w:val="auto"/>
                <w:sz w:val="28"/>
                <w:szCs w:val="30"/>
                <w:lang w:eastAsia="zh-CN"/>
              </w:rPr>
              <w:t>智能机器全景应用</w:t>
            </w:r>
            <w:r>
              <w:rPr>
                <w:rFonts w:ascii="仿宋_GB2312" w:hAnsi="Arial Narrow" w:eastAsia="仿宋_GB2312" w:cs="Arial"/>
                <w:snapToGrid/>
                <w:color w:val="auto"/>
                <w:sz w:val="28"/>
                <w:szCs w:val="30"/>
                <w:lang w:eastAsia="zh-CN"/>
              </w:rPr>
              <w:t>行业标准，</w:t>
            </w:r>
            <w:r>
              <w:rPr>
                <w:rFonts w:hint="eastAsia" w:ascii="仿宋_GB2312" w:hAnsi="Arial Narrow" w:eastAsia="仿宋_GB2312" w:cs="Arial"/>
                <w:snapToGrid/>
                <w:color w:val="auto"/>
                <w:sz w:val="28"/>
                <w:szCs w:val="30"/>
                <w:lang w:eastAsia="zh-CN"/>
              </w:rPr>
              <w:t>能够提供设备等功能的设备</w:t>
            </w:r>
            <w:r>
              <w:rPr>
                <w:rFonts w:ascii="仿宋_GB2312" w:hAnsi="Arial Narrow" w:eastAsia="仿宋_GB2312" w:cs="Arial"/>
                <w:snapToGrid/>
                <w:color w:val="auto"/>
                <w:sz w:val="28"/>
                <w:szCs w:val="30"/>
                <w:lang w:eastAsia="zh-CN"/>
              </w:rPr>
              <w:t>。</w:t>
            </w:r>
          </w:p>
        </w:tc>
      </w:tr>
      <w:tr w14:paraId="04280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08" w:type="dxa"/>
          </w:tcPr>
          <w:p w14:paraId="6AC5010E">
            <w:pPr>
              <w:spacing w:before="227" w:line="180" w:lineRule="auto"/>
              <w:ind w:left="311"/>
              <w:rPr>
                <w:rFonts w:ascii="仿宋_GB2312" w:hAnsi="Arial Narrow" w:eastAsia="仿宋_GB2312" w:cs="Arial"/>
                <w:snapToGrid/>
                <w:color w:val="auto"/>
                <w:sz w:val="28"/>
                <w:szCs w:val="30"/>
                <w:lang w:eastAsia="zh-CN"/>
              </w:rPr>
            </w:pPr>
            <w:r>
              <w:rPr>
                <w:rFonts w:ascii="仿宋_GB2312" w:hAnsi="Arial Narrow" w:eastAsia="仿宋_GB2312" w:cs="Arial"/>
                <w:snapToGrid/>
                <w:color w:val="auto"/>
                <w:sz w:val="28"/>
                <w:szCs w:val="30"/>
                <w:lang w:eastAsia="zh-CN"/>
              </w:rPr>
              <w:t>2</w:t>
            </w:r>
          </w:p>
        </w:tc>
        <w:tc>
          <w:tcPr>
            <w:tcW w:w="2122" w:type="dxa"/>
          </w:tcPr>
          <w:p w14:paraId="01B99CEC">
            <w:pPr>
              <w:spacing w:before="196" w:line="216" w:lineRule="auto"/>
              <w:ind w:left="117"/>
              <w:rPr>
                <w:rFonts w:ascii="仿宋_GB2312" w:hAnsi="Arial Narrow" w:eastAsia="仿宋_GB2312" w:cs="Arial"/>
                <w:snapToGrid/>
                <w:color w:val="auto"/>
                <w:sz w:val="28"/>
                <w:szCs w:val="30"/>
                <w:lang w:eastAsia="zh-CN"/>
              </w:rPr>
            </w:pPr>
            <w:r>
              <w:rPr>
                <w:rFonts w:hint="eastAsia" w:ascii="仿宋_GB2312" w:hAnsi="Arial Narrow" w:eastAsia="仿宋_GB2312" w:cs="Arial"/>
                <w:snapToGrid/>
                <w:color w:val="auto"/>
                <w:sz w:val="28"/>
                <w:szCs w:val="30"/>
                <w:lang w:eastAsia="zh-CN"/>
              </w:rPr>
              <w:t>智能机器全景应用</w:t>
            </w:r>
            <w:r>
              <w:rPr>
                <w:rFonts w:hint="eastAsia" w:ascii="仿宋_GB2312" w:hAnsi="Arial Narrow" w:eastAsia="仿宋_GB2312" w:cs="Arial"/>
                <w:snapToGrid/>
                <w:color w:val="auto"/>
                <w:sz w:val="28"/>
                <w:szCs w:val="30"/>
                <w:lang w:val="en-US" w:eastAsia="zh-CN"/>
              </w:rPr>
              <w:t>开发代码</w:t>
            </w:r>
            <w:r>
              <w:rPr>
                <w:rFonts w:ascii="仿宋_GB2312" w:hAnsi="Arial Narrow" w:eastAsia="仿宋_GB2312" w:cs="Arial"/>
                <w:snapToGrid/>
                <w:color w:val="auto"/>
                <w:sz w:val="28"/>
                <w:szCs w:val="30"/>
                <w:lang w:eastAsia="zh-CN"/>
              </w:rPr>
              <w:t>平台</w:t>
            </w:r>
          </w:p>
        </w:tc>
        <w:tc>
          <w:tcPr>
            <w:tcW w:w="851" w:type="dxa"/>
          </w:tcPr>
          <w:p w14:paraId="26FAE956">
            <w:pPr>
              <w:spacing w:before="196" w:line="221" w:lineRule="auto"/>
              <w:ind w:left="236"/>
              <w:rPr>
                <w:rFonts w:ascii="仿宋_GB2312" w:hAnsi="Arial Narrow" w:eastAsia="仿宋_GB2312" w:cs="Arial"/>
                <w:snapToGrid/>
                <w:color w:val="auto"/>
                <w:sz w:val="28"/>
                <w:szCs w:val="30"/>
                <w:lang w:eastAsia="zh-CN"/>
              </w:rPr>
            </w:pPr>
            <w:r>
              <w:rPr>
                <w:rFonts w:hint="eastAsia" w:ascii="仿宋_GB2312" w:hAnsi="Arial Narrow" w:eastAsia="仿宋_GB2312" w:cs="Arial"/>
                <w:snapToGrid/>
                <w:color w:val="auto"/>
                <w:sz w:val="28"/>
                <w:szCs w:val="30"/>
                <w:lang w:val="en-US" w:eastAsia="zh-CN"/>
              </w:rPr>
              <w:t>2</w:t>
            </w:r>
            <w:r>
              <w:rPr>
                <w:rFonts w:ascii="仿宋_GB2312" w:hAnsi="Arial Narrow" w:eastAsia="仿宋_GB2312" w:cs="Arial"/>
                <w:snapToGrid/>
                <w:color w:val="auto"/>
                <w:sz w:val="28"/>
                <w:szCs w:val="30"/>
                <w:lang w:eastAsia="zh-CN"/>
              </w:rPr>
              <w:t xml:space="preserve"> 套</w:t>
            </w:r>
          </w:p>
        </w:tc>
        <w:tc>
          <w:tcPr>
            <w:tcW w:w="4738" w:type="dxa"/>
          </w:tcPr>
          <w:p w14:paraId="742EE15E">
            <w:pPr>
              <w:spacing w:before="39" w:line="224" w:lineRule="auto"/>
              <w:ind w:left="125" w:right="105" w:hanging="2"/>
              <w:rPr>
                <w:rFonts w:ascii="仿宋_GB2312" w:hAnsi="Arial Narrow" w:eastAsia="仿宋_GB2312" w:cs="Arial"/>
                <w:snapToGrid/>
                <w:color w:val="auto"/>
                <w:sz w:val="28"/>
                <w:szCs w:val="30"/>
                <w:lang w:eastAsia="zh-CN"/>
              </w:rPr>
            </w:pPr>
            <w:r>
              <w:rPr>
                <w:rFonts w:ascii="仿宋_GB2312" w:hAnsi="Arial Narrow" w:eastAsia="仿宋_GB2312" w:cs="Arial"/>
                <w:snapToGrid/>
                <w:color w:val="auto"/>
                <w:sz w:val="28"/>
                <w:szCs w:val="30"/>
                <w:lang w:eastAsia="zh-CN"/>
              </w:rPr>
              <w:t>具有</w:t>
            </w:r>
            <w:r>
              <w:rPr>
                <w:rFonts w:hint="eastAsia" w:ascii="仿宋_GB2312" w:hAnsi="Arial Narrow" w:eastAsia="仿宋_GB2312" w:cs="Arial"/>
                <w:snapToGrid/>
                <w:color w:val="auto"/>
                <w:sz w:val="28"/>
                <w:szCs w:val="30"/>
                <w:lang w:eastAsia="zh-CN"/>
              </w:rPr>
              <w:t>机器全景应</w:t>
            </w:r>
            <w:r>
              <w:rPr>
                <w:rFonts w:hint="eastAsia" w:ascii="仿宋_GB2312" w:hAnsi="Arial Narrow" w:eastAsia="仿宋_GB2312" w:cs="Arial"/>
                <w:snapToGrid/>
                <w:color w:val="auto"/>
                <w:sz w:val="28"/>
                <w:szCs w:val="30"/>
                <w:lang w:val="en-US" w:eastAsia="zh-CN"/>
              </w:rPr>
              <w:t>用开发</w:t>
            </w:r>
            <w:r>
              <w:rPr>
                <w:rFonts w:ascii="仿宋_GB2312" w:hAnsi="Arial Narrow" w:eastAsia="仿宋_GB2312" w:cs="Arial"/>
                <w:snapToGrid/>
                <w:color w:val="auto"/>
                <w:sz w:val="28"/>
                <w:szCs w:val="30"/>
                <w:lang w:eastAsia="zh-CN"/>
              </w:rPr>
              <w:t>设计及开发。</w:t>
            </w:r>
          </w:p>
        </w:tc>
      </w:tr>
      <w:tr w14:paraId="1C2D6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08" w:type="dxa"/>
          </w:tcPr>
          <w:p w14:paraId="2449201E">
            <w:pPr>
              <w:spacing w:before="227" w:line="180" w:lineRule="auto"/>
              <w:ind w:left="311"/>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3</w:t>
            </w:r>
          </w:p>
        </w:tc>
        <w:tc>
          <w:tcPr>
            <w:tcW w:w="2122" w:type="dxa"/>
          </w:tcPr>
          <w:p w14:paraId="0225E930">
            <w:pPr>
              <w:spacing w:before="196" w:line="216" w:lineRule="auto"/>
              <w:ind w:left="117"/>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考务平台</w:t>
            </w:r>
          </w:p>
        </w:tc>
        <w:tc>
          <w:tcPr>
            <w:tcW w:w="851" w:type="dxa"/>
          </w:tcPr>
          <w:p w14:paraId="53355AF7">
            <w:pPr>
              <w:spacing w:before="196" w:line="221" w:lineRule="auto"/>
              <w:ind w:left="236"/>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1套</w:t>
            </w:r>
          </w:p>
        </w:tc>
        <w:tc>
          <w:tcPr>
            <w:tcW w:w="4738" w:type="dxa"/>
          </w:tcPr>
          <w:p w14:paraId="7EA38FD9">
            <w:pPr>
              <w:spacing w:before="39" w:line="224" w:lineRule="auto"/>
              <w:ind w:left="125" w:right="105" w:hanging="2"/>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用于发布任务、接收选手提交的实践技能题操作程序代码，并进行程序文件的统一管理与分发。</w:t>
            </w:r>
          </w:p>
        </w:tc>
      </w:tr>
      <w:tr w14:paraId="354FC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08" w:type="dxa"/>
          </w:tcPr>
          <w:p w14:paraId="15EAD981">
            <w:pPr>
              <w:spacing w:before="227" w:line="180" w:lineRule="auto"/>
              <w:ind w:left="311"/>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4</w:t>
            </w:r>
          </w:p>
        </w:tc>
        <w:tc>
          <w:tcPr>
            <w:tcW w:w="2122" w:type="dxa"/>
          </w:tcPr>
          <w:p w14:paraId="2E1B9DB2">
            <w:pPr>
              <w:spacing w:before="196" w:line="216" w:lineRule="auto"/>
              <w:ind w:left="117"/>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答辩大屏及投屏硬件</w:t>
            </w:r>
          </w:p>
        </w:tc>
        <w:tc>
          <w:tcPr>
            <w:tcW w:w="851" w:type="dxa"/>
          </w:tcPr>
          <w:p w14:paraId="54C6C7CB">
            <w:pPr>
              <w:spacing w:before="196" w:line="221" w:lineRule="auto"/>
              <w:ind w:left="236"/>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1套</w:t>
            </w:r>
          </w:p>
        </w:tc>
        <w:tc>
          <w:tcPr>
            <w:tcW w:w="4738" w:type="dxa"/>
          </w:tcPr>
          <w:p w14:paraId="765CA30F">
            <w:pPr>
              <w:spacing w:before="39" w:line="224" w:lineRule="auto"/>
              <w:ind w:left="125" w:right="105" w:hanging="2"/>
              <w:rPr>
                <w:rFonts w:hint="default" w:ascii="仿宋_GB2312" w:hAnsi="Arial Narrow" w:eastAsia="仿宋_GB2312" w:cs="Arial"/>
                <w:snapToGrid/>
                <w:color w:val="auto"/>
                <w:sz w:val="28"/>
                <w:szCs w:val="30"/>
                <w:lang w:val="en-US" w:eastAsia="zh-CN"/>
              </w:rPr>
            </w:pPr>
            <w:r>
              <w:rPr>
                <w:rFonts w:hint="eastAsia" w:ascii="仿宋_GB2312" w:hAnsi="Arial Narrow" w:eastAsia="仿宋_GB2312" w:cs="Arial"/>
                <w:snapToGrid/>
                <w:color w:val="auto"/>
                <w:sz w:val="28"/>
                <w:szCs w:val="30"/>
                <w:lang w:val="en-US" w:eastAsia="zh-CN"/>
              </w:rPr>
              <w:t>用于PPT或方案展示</w:t>
            </w:r>
          </w:p>
        </w:tc>
      </w:tr>
    </w:tbl>
    <w:p w14:paraId="63035182">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十一、成绩评定</w:t>
      </w:r>
    </w:p>
    <w:p w14:paraId="0351A598">
      <w:pPr>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竞赛评分本着公平公正公开的原则，评分标准注重对参赛选手价值观与态度、</w:t>
      </w:r>
      <w:r>
        <w:rPr>
          <w:rFonts w:hint="eastAsia" w:ascii="仿宋_GB2312" w:hAnsi="Arial Narrow" w:eastAsia="仿宋_GB2312" w:cs="Arial"/>
          <w:sz w:val="28"/>
          <w:szCs w:val="30"/>
          <w:lang w:eastAsia="zh-CN"/>
        </w:rPr>
        <w:t>智能机器全景应用</w:t>
      </w:r>
      <w:r>
        <w:rPr>
          <w:rFonts w:hint="eastAsia" w:ascii="仿宋_GB2312" w:hAnsi="Arial Narrow" w:eastAsia="仿宋_GB2312" w:cs="Arial"/>
          <w:sz w:val="28"/>
          <w:szCs w:val="30"/>
        </w:rPr>
        <w:t>技术应用能力、团队协作与沟通及组织与管理能力的考察。以技能考核为主，兼顾团队协作精神和职业道德素养综合评定。</w:t>
      </w:r>
    </w:p>
    <w:p w14:paraId="15194C23">
      <w:pPr>
        <w:spacing w:before="130" w:line="218" w:lineRule="auto"/>
        <w:ind w:left="535"/>
        <w:outlineLvl w:val="0"/>
        <w:rPr>
          <w:rFonts w:ascii="仿宋" w:hAnsi="仿宋" w:eastAsia="仿宋" w:cs="仿宋"/>
          <w:spacing w:val="-10"/>
          <w:sz w:val="28"/>
          <w:szCs w:val="28"/>
        </w:rPr>
      </w:pPr>
      <w:r>
        <w:rPr>
          <w:rFonts w:hint="eastAsia" w:ascii="仿宋" w:hAnsi="仿宋" w:eastAsia="仿宋" w:cs="仿宋"/>
          <w:spacing w:val="-10"/>
          <w:sz w:val="28"/>
          <w:szCs w:val="28"/>
        </w:rPr>
        <w:t>（一）组织与分工</w:t>
      </w:r>
    </w:p>
    <w:p w14:paraId="04585F5B">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（1）参与大赛赛项成绩管理的组织机构包括裁判组、监督仲裁组，受赛项执委会领导。</w:t>
      </w:r>
    </w:p>
    <w:p w14:paraId="7D2DA6DB">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hint="eastAsia" w:ascii="仿宋_GB2312" w:eastAsia="仿宋_GB2312"/>
          <w:sz w:val="28"/>
        </w:rPr>
        <w:t>裁判组实行“裁判长负责制”，设裁判长1名，全面负责赛项的裁判管理工作并处理比赛中出现的争议问题，并配裁判员若干名，负责协助裁判长工作</w:t>
      </w:r>
      <w:r>
        <w:rPr>
          <w:rFonts w:hint="eastAsia" w:ascii="仿宋_GB2312" w:hAnsi="Arial Narrow" w:eastAsia="仿宋_GB2312" w:cs="Arial"/>
          <w:sz w:val="28"/>
          <w:szCs w:val="30"/>
        </w:rPr>
        <w:t>。</w:t>
      </w:r>
    </w:p>
    <w:p w14:paraId="03718E37">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w:t>
      </w:r>
      <w:r>
        <w:rPr>
          <w:rFonts w:hint="eastAsia" w:ascii="仿宋_GB2312" w:eastAsia="仿宋_GB2312"/>
          <w:sz w:val="28"/>
        </w:rPr>
        <w:t>裁判员根据比赛需要分为检录裁判、加密裁判、现场裁判和评分裁判。</w:t>
      </w:r>
      <w:r>
        <w:rPr>
          <w:rFonts w:hint="eastAsia" w:ascii="仿宋_GB2312" w:hAnsi="Arial Narrow" w:eastAsia="仿宋_GB2312" w:cs="Arial"/>
          <w:sz w:val="28"/>
          <w:szCs w:val="30"/>
        </w:rPr>
        <w:t>检录工作人员负责对参赛队伍（选手）进行点名登记、身份核对等工作；加密裁判负责组织参赛队伍（选手）抽签，对参赛队信息、抽签代码等进行加密、解密工作；现场裁判按规定做好赛场记录，维护赛场纪律；评分裁判负责对参赛队伍（选手）的比赛作品、比赛表现按赛项评分标准进行评定。</w:t>
      </w:r>
    </w:p>
    <w:p w14:paraId="0AF5ED80">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w:t>
      </w:r>
      <w:r>
        <w:rPr>
          <w:rFonts w:ascii="仿宋_GB2312" w:hAnsi="Arial Narrow" w:eastAsia="仿宋_GB2312" w:cs="Arial"/>
          <w:sz w:val="28"/>
        </w:rPr>
        <w:t>监督仲裁</w:t>
      </w:r>
      <w:r>
        <w:rPr>
          <w:rFonts w:hint="eastAsia" w:ascii="仿宋_GB2312" w:hAnsi="Arial Narrow" w:eastAsia="仿宋_GB2312" w:cs="Arial"/>
          <w:sz w:val="28"/>
          <w:szCs w:val="30"/>
        </w:rPr>
        <w:t>组对裁判组的工作进行全程监督，并对竞赛成绩抽检复核。</w:t>
      </w:r>
    </w:p>
    <w:p w14:paraId="30FE1081">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（5）</w:t>
      </w:r>
      <w:r>
        <w:rPr>
          <w:rFonts w:ascii="仿宋_GB2312" w:hAnsi="Arial Narrow" w:eastAsia="仿宋_GB2312" w:cs="Arial"/>
          <w:sz w:val="28"/>
        </w:rPr>
        <w:t>监督仲裁</w:t>
      </w:r>
      <w:r>
        <w:rPr>
          <w:rFonts w:hint="eastAsia" w:ascii="仿宋_GB2312" w:hAnsi="Arial Narrow" w:eastAsia="仿宋_GB2312" w:cs="Arial"/>
          <w:sz w:val="28"/>
          <w:szCs w:val="30"/>
        </w:rPr>
        <w:t>组负责接受由参赛队领队提出的对竞赛</w:t>
      </w:r>
      <w:r>
        <w:rPr>
          <w:rFonts w:ascii="仿宋_GB2312" w:hAnsi="Arial Narrow" w:eastAsia="仿宋_GB2312" w:cs="Arial"/>
          <w:sz w:val="28"/>
          <w:szCs w:val="30"/>
        </w:rPr>
        <w:t>过程</w:t>
      </w:r>
      <w:r>
        <w:rPr>
          <w:rFonts w:hint="eastAsia" w:ascii="仿宋_GB2312" w:hAnsi="Arial Narrow" w:eastAsia="仿宋_GB2312" w:cs="Arial"/>
          <w:sz w:val="28"/>
          <w:szCs w:val="30"/>
        </w:rPr>
        <w:t>的申诉，组织复议并及时反馈复议结果。</w:t>
      </w:r>
    </w:p>
    <w:p w14:paraId="0885CEFA">
      <w:pPr>
        <w:spacing w:before="130" w:line="218" w:lineRule="auto"/>
        <w:ind w:left="535"/>
        <w:outlineLvl w:val="0"/>
        <w:rPr>
          <w:rFonts w:ascii="仿宋" w:hAnsi="仿宋" w:eastAsia="仿宋" w:cs="仿宋"/>
          <w:spacing w:val="-10"/>
          <w:sz w:val="28"/>
          <w:szCs w:val="28"/>
        </w:rPr>
      </w:pPr>
      <w:r>
        <w:rPr>
          <w:rFonts w:hint="eastAsia" w:ascii="仿宋" w:hAnsi="仿宋" w:eastAsia="仿宋" w:cs="仿宋"/>
          <w:spacing w:val="-10"/>
          <w:sz w:val="28"/>
          <w:szCs w:val="28"/>
        </w:rPr>
        <w:t>（二）成绩评定方法</w:t>
      </w:r>
    </w:p>
    <w:p w14:paraId="5EC46AD2">
      <w:pPr>
        <w:tabs>
          <w:tab w:val="left" w:pos="584"/>
        </w:tabs>
        <w:rPr>
          <w:rFonts w:ascii="仿宋_GB2312" w:eastAsia="仿宋_GB2312"/>
          <w:sz w:val="28"/>
        </w:rPr>
      </w:pPr>
      <w:r>
        <w:rPr>
          <w:rFonts w:ascii="仿宋" w:hAnsi="仿宋" w:eastAsia="仿宋" w:cs="仿宋"/>
          <w:sz w:val="28"/>
          <w:szCs w:val="28"/>
        </w:rPr>
        <w:tab/>
      </w:r>
      <w:r>
        <w:rPr>
          <w:rFonts w:hint="eastAsia" w:ascii="仿宋" w:hAnsi="仿宋" w:eastAsia="仿宋" w:cs="仿宋"/>
          <w:sz w:val="28"/>
          <w:szCs w:val="28"/>
        </w:rPr>
        <w:t>成</w:t>
      </w:r>
      <w:r>
        <w:rPr>
          <w:rFonts w:hint="eastAsia" w:ascii="仿宋_GB2312" w:eastAsia="仿宋_GB2312"/>
          <w:sz w:val="28"/>
        </w:rPr>
        <w:t>绩评定是根据竞赛考核目标、内容对参赛队或选手在竞赛过程中的表现和最终成果做出评价，本赛项的评分方法分结果评分。结果评分是对参赛选手提交的竞赛成果和作答卷，依据赛项评价标准进行评价评分。所有的评分表、成绩汇总表备案以供核查，最终的成绩由裁判长进行审核确认并上报大赛组委会。</w:t>
      </w:r>
    </w:p>
    <w:p w14:paraId="0DD2290B">
      <w:pPr>
        <w:spacing w:before="130" w:line="218" w:lineRule="auto"/>
        <w:ind w:left="535"/>
        <w:outlineLvl w:val="0"/>
        <w:rPr>
          <w:rFonts w:ascii="仿宋" w:hAnsi="仿宋" w:eastAsia="仿宋" w:cs="仿宋"/>
          <w:spacing w:val="-10"/>
          <w:sz w:val="28"/>
          <w:szCs w:val="28"/>
        </w:rPr>
      </w:pPr>
      <w:r>
        <w:rPr>
          <w:rFonts w:hint="eastAsia" w:ascii="仿宋" w:hAnsi="仿宋" w:eastAsia="仿宋" w:cs="仿宋"/>
          <w:spacing w:val="-10"/>
          <w:sz w:val="28"/>
          <w:szCs w:val="28"/>
        </w:rPr>
        <w:t>（三）成绩解</w:t>
      </w:r>
      <w:r>
        <w:rPr>
          <w:rFonts w:ascii="仿宋" w:hAnsi="仿宋" w:eastAsia="仿宋" w:cs="仿宋"/>
          <w:spacing w:val="-10"/>
          <w:sz w:val="28"/>
          <w:szCs w:val="28"/>
        </w:rPr>
        <w:t>密</w:t>
      </w:r>
    </w:p>
    <w:p w14:paraId="480B6FA6">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裁判长正式提交赛位（竞赛作品）评分结果并复核无误后，加密裁判在</w:t>
      </w:r>
      <w:r>
        <w:rPr>
          <w:rFonts w:ascii="仿宋_GB2312" w:hAnsi="Arial Narrow" w:eastAsia="仿宋_GB2312" w:cs="Arial"/>
          <w:sz w:val="28"/>
        </w:rPr>
        <w:t>监督仲裁</w:t>
      </w:r>
      <w:r>
        <w:rPr>
          <w:rFonts w:hint="eastAsia" w:ascii="仿宋_GB2312" w:hAnsi="Arial Narrow" w:eastAsia="仿宋_GB2312" w:cs="Arial"/>
          <w:sz w:val="28"/>
          <w:szCs w:val="30"/>
        </w:rPr>
        <w:t>组人员监督下对加密结果进行逐层解密。</w:t>
      </w:r>
    </w:p>
    <w:p w14:paraId="29FF02ED">
      <w:pPr>
        <w:spacing w:before="130" w:line="218" w:lineRule="auto"/>
        <w:ind w:left="535"/>
        <w:outlineLvl w:val="0"/>
        <w:rPr>
          <w:rFonts w:ascii="仿宋" w:hAnsi="仿宋" w:eastAsia="仿宋" w:cs="仿宋"/>
          <w:spacing w:val="-10"/>
          <w:sz w:val="28"/>
          <w:szCs w:val="28"/>
        </w:rPr>
      </w:pPr>
      <w:r>
        <w:rPr>
          <w:rFonts w:hint="eastAsia" w:ascii="仿宋" w:hAnsi="仿宋" w:eastAsia="仿宋" w:cs="仿宋"/>
          <w:spacing w:val="-10"/>
          <w:sz w:val="28"/>
          <w:szCs w:val="28"/>
        </w:rPr>
        <w:t>（四）成绩公布</w:t>
      </w:r>
    </w:p>
    <w:p w14:paraId="3E8323D1">
      <w:pPr>
        <w:spacing w:line="360" w:lineRule="auto"/>
        <w:ind w:firstLine="560" w:firstLineChars="200"/>
        <w:rPr>
          <w:rFonts w:ascii="仿宋_GB2312" w:eastAsia="仿宋_GB2312"/>
          <w:sz w:val="28"/>
        </w:rPr>
      </w:pPr>
      <w:r>
        <w:rPr>
          <w:rFonts w:hint="eastAsia" w:ascii="仿宋_GB2312" w:eastAsia="仿宋_GB2312"/>
          <w:sz w:val="28"/>
        </w:rPr>
        <w:t>赛项成绩在赛项结束后由大赛组委会负责公布最终成绩。任何组织和个人，不得擅自对大赛成绩进行涂改、伪造或用于欺诈等违法犯罪活动、如需使用大赛成绩，应报赛项执委会审批。</w:t>
      </w:r>
    </w:p>
    <w:p w14:paraId="559E845F">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十二、奖项设定</w:t>
      </w:r>
    </w:p>
    <w:p w14:paraId="614CED71">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竞赛设参赛选手团体奖。以赛项实际参赛队总数为基数，一等奖占比10%，二等奖占比20%，三等奖占比30%，小数点后四舍五入；大赛所有荣誉证书、奖杯由大赛组委会统一制作颁发。</w:t>
      </w:r>
      <w:r>
        <w:rPr>
          <w:rFonts w:hint="eastAsia" w:ascii="Arial Narrow" w:hAnsi="Arial Narrow" w:eastAsia="仿宋_GB2312" w:cs="宋体"/>
          <w:sz w:val="28"/>
          <w:szCs w:val="28"/>
        </w:rPr>
        <w:t>如出现参赛队总分相同情况，按照 模块一、模块二顺序的得分高低排序，即总成绩相同的情况下比较模块二的成绩，模块二成绩高的排名优先，如果模块二成绩也相同，则按模块一的成绩进行排名，以此类推完成相同成绩的排序。如果各模块分值均相同，则查看模块三的分值进行排序。</w:t>
      </w:r>
    </w:p>
    <w:p w14:paraId="34DBC6FF">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十三、赛场预案</w:t>
      </w:r>
    </w:p>
    <w:p w14:paraId="52B1A47E">
      <w:pPr>
        <w:widowControl/>
        <w:spacing w:line="560" w:lineRule="exact"/>
        <w:ind w:firstLine="560" w:firstLineChars="200"/>
        <w:jc w:val="left"/>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按照《全国职业院校技能大赛制度汇编》中相关制度执行。</w:t>
      </w:r>
    </w:p>
    <w:p w14:paraId="480709A1">
      <w:pPr>
        <w:spacing w:line="560" w:lineRule="exact"/>
        <w:ind w:firstLine="560" w:firstLineChars="200"/>
        <w:rPr>
          <w:rFonts w:ascii="仿宋_GB2312" w:hAnsi="Cambria" w:eastAsia="仿宋_GB2312"/>
          <w:bCs/>
          <w:color w:val="000000"/>
          <w:kern w:val="28"/>
          <w:sz w:val="28"/>
          <w:szCs w:val="28"/>
        </w:rPr>
      </w:pPr>
      <w:r>
        <w:rPr>
          <w:rFonts w:hint="eastAsia" w:ascii="仿宋_GB2312" w:hAnsi="仿宋_GB2312" w:eastAsia="仿宋_GB2312"/>
          <w:color w:val="000000"/>
          <w:sz w:val="28"/>
          <w:szCs w:val="32"/>
        </w:rPr>
        <w:t>1</w:t>
      </w:r>
      <w:r>
        <w:rPr>
          <w:rFonts w:hint="eastAsia" w:ascii="仿宋_GB2312" w:hAnsi="Cambria" w:eastAsia="仿宋_GB2312"/>
          <w:bCs/>
          <w:color w:val="000000"/>
          <w:kern w:val="28"/>
          <w:sz w:val="28"/>
          <w:szCs w:val="28"/>
        </w:rPr>
        <w:t>.竞赛软硬件环境和电脑在比赛前进行压力测试，验证功能正常。竞赛现场准备有</w:t>
      </w:r>
      <w:r>
        <w:rPr>
          <w:rFonts w:ascii="仿宋_GB2312" w:hAnsi="Cambria" w:eastAsia="仿宋_GB2312"/>
          <w:bCs/>
          <w:color w:val="000000"/>
          <w:kern w:val="28"/>
          <w:sz w:val="28"/>
          <w:szCs w:val="28"/>
        </w:rPr>
        <w:t>1</w:t>
      </w:r>
      <w:r>
        <w:rPr>
          <w:rFonts w:hint="eastAsia" w:ascii="仿宋_GB2312" w:hAnsi="Cambria" w:eastAsia="仿宋_GB2312"/>
          <w:bCs/>
          <w:color w:val="000000"/>
          <w:kern w:val="28"/>
          <w:sz w:val="28"/>
          <w:szCs w:val="28"/>
        </w:rPr>
        <w:t>-</w:t>
      </w:r>
      <w:r>
        <w:rPr>
          <w:rFonts w:ascii="仿宋_GB2312" w:hAnsi="Cambria" w:eastAsia="仿宋_GB2312"/>
          <w:bCs/>
          <w:color w:val="000000"/>
          <w:kern w:val="28"/>
          <w:sz w:val="28"/>
          <w:szCs w:val="28"/>
        </w:rPr>
        <w:t>2</w:t>
      </w:r>
      <w:r>
        <w:rPr>
          <w:rFonts w:hint="eastAsia" w:ascii="仿宋_GB2312" w:hAnsi="Cambria" w:eastAsia="仿宋_GB2312"/>
          <w:bCs/>
          <w:color w:val="000000"/>
          <w:kern w:val="28"/>
          <w:sz w:val="28"/>
          <w:szCs w:val="28"/>
        </w:rPr>
        <w:t>套完整的竞赛环境和充足的备用设备，保证在出现非选手原因的损坏时，经现场裁判认定，裁判长确认后，由赛场技术支持人员予以及时更换。</w:t>
      </w:r>
    </w:p>
    <w:p w14:paraId="2C6583D6">
      <w:pPr>
        <w:spacing w:line="56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2</w:t>
      </w:r>
      <w:r>
        <w:rPr>
          <w:rFonts w:hint="eastAsia" w:ascii="仿宋_GB2312" w:hAnsi="Cambria" w:eastAsia="仿宋_GB2312"/>
          <w:bCs/>
          <w:color w:val="000000"/>
          <w:kern w:val="28"/>
          <w:sz w:val="28"/>
          <w:szCs w:val="28"/>
        </w:rPr>
        <w:t>.竞赛过程中出现设备掉电、故障等意外时，现场裁判需及时确认情况，安排赛场技术支持人员进行处理，现场裁判登记详细情况，填写补时登记表，报裁判长批准后，可安排延长补足相应选手的比赛时间。</w:t>
      </w:r>
    </w:p>
    <w:p w14:paraId="4C6E7F1B">
      <w:pPr>
        <w:spacing w:line="56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3</w:t>
      </w:r>
      <w:r>
        <w:rPr>
          <w:rFonts w:hint="eastAsia" w:ascii="仿宋_GB2312" w:hAnsi="Cambria" w:eastAsia="仿宋_GB2312"/>
          <w:bCs/>
          <w:color w:val="000000"/>
          <w:kern w:val="28"/>
          <w:sz w:val="28"/>
          <w:szCs w:val="28"/>
        </w:rPr>
        <w:t>.本赛项竞赛过程中各个竞赛工位为独立供电且各个参赛队均采用独立网络进行竞赛，如在竞赛时某赛位参赛队出现意外境况不会影响其它赛位正常比赛，不会由此对成绩产生影响。</w:t>
      </w:r>
    </w:p>
    <w:p w14:paraId="73C8678B">
      <w:pPr>
        <w:ind w:firstLine="560" w:firstLineChars="200"/>
      </w:pPr>
      <w:r>
        <w:rPr>
          <w:rFonts w:hint="eastAsia" w:ascii="仿宋_GB2312" w:hAnsi="Cambria" w:eastAsia="仿宋_GB2312"/>
          <w:bCs/>
          <w:color w:val="000000"/>
          <w:kern w:val="28"/>
          <w:sz w:val="28"/>
          <w:szCs w:val="28"/>
        </w:rPr>
        <w:t>4.比赛期间发生大规模意外事故和安全问题，发现者应第一时间报告赛项执委会，赛项执委会应采取中止比赛、快速疏散人群等措施避免事态扩大，并第一时间报告赛项执委会。赛项出现重大安全问题可以停赛，是否停赛由赛项执委会决定。事后，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执委会应向上级领导部门报告详细情况。</w:t>
      </w:r>
    </w:p>
    <w:p w14:paraId="4288C5A8">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十四、赛项安全</w:t>
      </w:r>
    </w:p>
    <w:p w14:paraId="34E95FE9">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1074F439">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（一）比赛环境</w:t>
      </w:r>
    </w:p>
    <w:p w14:paraId="422D9A10">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1.赛项执委会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赛项执委会要求排除安全隐患。</w:t>
      </w:r>
    </w:p>
    <w:p w14:paraId="4DAF1AF6">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2.赛场周围要设立警戒线，要求所有参赛人员必须凭赛项执委会印发的有效证件进入场地，防止无关人员进入发生意外事件。比赛现场内应参照相关职业岗位的要求为选手提供必要的劳动保护。在具有危险性的操作环节，裁判员要严防选手出现错误操作。</w:t>
      </w:r>
    </w:p>
    <w:p w14:paraId="30468D8C">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3.承办院校应提供保证应急预案实施的条件。对于比赛内容涉及高空作业、可能有坠物、大用电量、易发生火灾等情况的赛项，必须明确制度和预案，并配备急救人员与设施。</w:t>
      </w:r>
    </w:p>
    <w:p w14:paraId="4D9CD74E">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4.严格控制与参赛无关的易燃易爆以及各类危险品进入比赛场地，不许随便携带书包进入赛场。</w:t>
      </w:r>
    </w:p>
    <w:p w14:paraId="2372AD3D">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5.配备先进的仪器，防止有人利用电磁波干扰比赛秩序。大赛现场需对赛场进行网络安全控制，以免场内外信息交互，充分体现大赛的严肃、公平和公正性。</w:t>
      </w:r>
    </w:p>
    <w:p w14:paraId="703FA532">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6.赛项执委会须会同承办院校制定开放赛场和体验区的人员疏导方案。赛场环境中存在人员密集、车流人流交错的区域，除了设置齐全的指示标志外，须增加引导人员，并开辟备用通道。</w:t>
      </w:r>
    </w:p>
    <w:p w14:paraId="0E60CC85">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7.大赛期间，承办院校须在赛场管理的关键岗位，增加力量，建立安全管理日志。</w:t>
      </w:r>
    </w:p>
    <w:p w14:paraId="0CC1AFC9">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（二）生活条件</w:t>
      </w:r>
    </w:p>
    <w:p w14:paraId="7E61AE32">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1.比赛期间，原则上由赛项承办院校统一安排参赛选手和指导教师食宿。承办院校须尊重少数民族的信仰及文化，根据国家相关的民族政策，安排好少数民族选手和教师的饮食起居。</w:t>
      </w:r>
    </w:p>
    <w:p w14:paraId="3761CBCE">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2.比赛期间安排的住宿地应具有宾馆/住宿经营许可资质。以学校宿舍作为住宿地的，大赛期间的住宿、卫生、饮食安全等由执委会和提供宿舍的学校共同负责。</w:t>
      </w:r>
    </w:p>
    <w:p w14:paraId="5F09DC5B">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3.大赛期间有组织的参观和观摩活动的交通安全由赛项组委会负责。赛项执委会和承办院校须保证比赛期间选手、指导教师和裁判员、工作人员的交通安全。</w:t>
      </w:r>
    </w:p>
    <w:p w14:paraId="5A168036">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4.各赛项的安全管理，除了可以采取必要的安全隔离措施外，应严格遵守国家相关法律法规，保护个人隐私和人身自由。</w:t>
      </w:r>
    </w:p>
    <w:p w14:paraId="56F18108">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（三）应急处理</w:t>
      </w:r>
    </w:p>
    <w:p w14:paraId="101CB749">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比赛期间发生意外事故时，发现者应在第一时间报告赛项执委会，同时采取措施，避免事态扩大。赛项执委会应立即启动预案予以解决。出现重大安全问题的赛项可以停赛，是否停赛由赛项组委会决定。事后，赛项执委会应向赛项组委会报告详细情况。</w:t>
      </w:r>
    </w:p>
    <w:p w14:paraId="1796D59E">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（四）处罚措施</w:t>
      </w:r>
    </w:p>
    <w:p w14:paraId="14B91401">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1.因参赛队伍原因造成重大安全事故的，取消其获奖资格。</w:t>
      </w:r>
    </w:p>
    <w:p w14:paraId="3A2CCAD3">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2.参赛队伍有发生重大安全事故隐患，经赛场工作人员提示、警告无效的，可取消其继续比赛的资格。</w:t>
      </w:r>
    </w:p>
    <w:p w14:paraId="2F0B1EE5">
      <w:pPr>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3.赛事工作人员违规的，按照相应的制度追究责任。情节恶劣并造成重大安全事故的，由司法机关追究相应法律责任。</w:t>
      </w:r>
    </w:p>
    <w:p w14:paraId="6F9858A2">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十五、竞赛须知</w:t>
      </w:r>
    </w:p>
    <w:p w14:paraId="38EDAA60">
      <w:pPr>
        <w:snapToGrid w:val="0"/>
        <w:spacing w:line="560" w:lineRule="exact"/>
        <w:ind w:firstLine="280" w:firstLineChars="100"/>
        <w:outlineLvl w:val="0"/>
        <w:rPr>
          <w:rFonts w:ascii="Arial Narrow" w:hAnsi="Arial Narrow" w:eastAsia="仿宋_GB2312"/>
          <w:sz w:val="30"/>
          <w:szCs w:val="30"/>
        </w:rPr>
      </w:pPr>
      <w:r>
        <w:rPr>
          <w:rFonts w:hint="eastAsia" w:ascii="Arial Narrow" w:hAnsi="Arial Narrow" w:eastAsia="仿宋_GB2312" w:cs="Arial"/>
          <w:sz w:val="28"/>
          <w:szCs w:val="30"/>
        </w:rPr>
        <w:t>（一）参赛队须知</w:t>
      </w:r>
    </w:p>
    <w:p w14:paraId="282303EC">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参赛</w:t>
      </w:r>
      <w:r>
        <w:rPr>
          <w:rFonts w:ascii="仿宋_GB2312" w:hAnsi="Arial Narrow" w:eastAsia="仿宋_GB2312" w:cs="Arial"/>
          <w:sz w:val="28"/>
          <w:szCs w:val="30"/>
        </w:rPr>
        <w:t>队</w:t>
      </w:r>
      <w:r>
        <w:rPr>
          <w:rFonts w:hint="eastAsia" w:ascii="仿宋_GB2312" w:hAnsi="Arial Narrow" w:eastAsia="仿宋_GB2312" w:cs="Arial"/>
          <w:sz w:val="28"/>
          <w:szCs w:val="30"/>
        </w:rPr>
        <w:t>应该</w:t>
      </w:r>
      <w:r>
        <w:rPr>
          <w:rFonts w:ascii="仿宋_GB2312" w:hAnsi="Arial Narrow" w:eastAsia="仿宋_GB2312" w:cs="Arial"/>
          <w:sz w:val="28"/>
          <w:szCs w:val="30"/>
        </w:rPr>
        <w:t>参加</w:t>
      </w:r>
      <w:r>
        <w:rPr>
          <w:rFonts w:hint="eastAsia" w:ascii="仿宋_GB2312" w:hAnsi="Arial Narrow" w:eastAsia="仿宋_GB2312" w:cs="Arial"/>
          <w:sz w:val="28"/>
          <w:szCs w:val="30"/>
        </w:rPr>
        <w:t>赛项</w:t>
      </w:r>
      <w:r>
        <w:rPr>
          <w:rFonts w:ascii="仿宋_GB2312" w:hAnsi="Arial Narrow" w:eastAsia="仿宋_GB2312" w:cs="Arial"/>
          <w:sz w:val="28"/>
          <w:szCs w:val="30"/>
        </w:rPr>
        <w:t>承办单位组织的闭赛式等</w:t>
      </w:r>
      <w:r>
        <w:rPr>
          <w:rFonts w:hint="eastAsia" w:ascii="仿宋_GB2312" w:hAnsi="Arial Narrow" w:eastAsia="仿宋_GB2312" w:cs="Arial"/>
          <w:sz w:val="28"/>
          <w:szCs w:val="30"/>
        </w:rPr>
        <w:t>各项</w:t>
      </w:r>
      <w:r>
        <w:rPr>
          <w:rFonts w:ascii="仿宋_GB2312" w:hAnsi="Arial Narrow" w:eastAsia="仿宋_GB2312" w:cs="Arial"/>
          <w:sz w:val="28"/>
          <w:szCs w:val="30"/>
        </w:rPr>
        <w:t>赛事活动</w:t>
      </w:r>
      <w:r>
        <w:rPr>
          <w:rFonts w:hint="eastAsia" w:ascii="仿宋_GB2312" w:hAnsi="Arial Narrow" w:eastAsia="仿宋_GB2312" w:cs="Arial"/>
          <w:sz w:val="28"/>
          <w:szCs w:val="30"/>
        </w:rPr>
        <w:t>。</w:t>
      </w:r>
    </w:p>
    <w:p w14:paraId="60CF85FD">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在赛事期间，领队及参赛队其他成员不得私自接触裁判，凡发现有弄虚作假者，取消其参赛资格，成绩无效。</w:t>
      </w:r>
    </w:p>
    <w:p w14:paraId="2E4009E9">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w:t>
      </w:r>
      <w:r>
        <w:rPr>
          <w:rFonts w:ascii="仿宋_GB2312" w:hAnsi="Arial Narrow" w:eastAsia="仿宋_GB2312" w:cs="Arial"/>
          <w:sz w:val="28"/>
          <w:szCs w:val="30"/>
        </w:rPr>
        <w:t>.</w:t>
      </w:r>
      <w:r>
        <w:rPr>
          <w:rFonts w:hint="eastAsia" w:ascii="仿宋_GB2312" w:hAnsi="Arial Narrow" w:eastAsia="仿宋_GB2312" w:cs="Arial"/>
          <w:sz w:val="28"/>
          <w:szCs w:val="30"/>
        </w:rPr>
        <w:t>所有</w:t>
      </w:r>
      <w:r>
        <w:rPr>
          <w:rFonts w:ascii="仿宋_GB2312" w:hAnsi="Arial Narrow" w:eastAsia="仿宋_GB2312" w:cs="Arial"/>
          <w:sz w:val="28"/>
          <w:szCs w:val="30"/>
        </w:rPr>
        <w:t>参赛</w:t>
      </w:r>
      <w:r>
        <w:rPr>
          <w:rFonts w:hint="eastAsia" w:ascii="仿宋_GB2312" w:hAnsi="Arial Narrow" w:eastAsia="仿宋_GB2312" w:cs="Arial"/>
          <w:sz w:val="28"/>
          <w:szCs w:val="30"/>
        </w:rPr>
        <w:t>人员须</w:t>
      </w:r>
      <w:r>
        <w:rPr>
          <w:rFonts w:ascii="仿宋_GB2312" w:hAnsi="Arial Narrow" w:eastAsia="仿宋_GB2312" w:cs="Arial"/>
          <w:sz w:val="28"/>
          <w:szCs w:val="30"/>
        </w:rPr>
        <w:t>按照赛项规程</w:t>
      </w:r>
      <w:r>
        <w:rPr>
          <w:rFonts w:hint="eastAsia" w:ascii="仿宋_GB2312" w:hAnsi="Arial Narrow" w:eastAsia="仿宋_GB2312" w:cs="Arial"/>
          <w:sz w:val="28"/>
          <w:szCs w:val="30"/>
        </w:rPr>
        <w:t>要求按照</w:t>
      </w:r>
      <w:r>
        <w:rPr>
          <w:rFonts w:ascii="仿宋_GB2312" w:hAnsi="Arial Narrow" w:eastAsia="仿宋_GB2312" w:cs="Arial"/>
          <w:sz w:val="28"/>
          <w:szCs w:val="30"/>
        </w:rPr>
        <w:t>完成赛项评价工作。</w:t>
      </w:r>
    </w:p>
    <w:p w14:paraId="064F514B">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w:t>
      </w:r>
      <w:r>
        <w:rPr>
          <w:rFonts w:ascii="仿宋_GB2312" w:hAnsi="Arial Narrow" w:eastAsia="仿宋_GB2312" w:cs="Arial"/>
          <w:sz w:val="28"/>
          <w:szCs w:val="30"/>
        </w:rPr>
        <w:t>.</w:t>
      </w:r>
      <w:r>
        <w:rPr>
          <w:rFonts w:hint="eastAsia" w:ascii="仿宋_GB2312" w:hAnsi="Arial Narrow" w:eastAsia="仿宋_GB2312" w:cs="Arial"/>
          <w:sz w:val="28"/>
          <w:szCs w:val="30"/>
        </w:rPr>
        <w:t>对于</w:t>
      </w:r>
      <w:r>
        <w:rPr>
          <w:rFonts w:ascii="仿宋_GB2312" w:hAnsi="Arial Narrow" w:eastAsia="仿宋_GB2312" w:cs="Arial"/>
          <w:sz w:val="28"/>
          <w:szCs w:val="30"/>
        </w:rPr>
        <w:t>有碍比赛公正和比赛正常进行的</w:t>
      </w:r>
      <w:r>
        <w:rPr>
          <w:rFonts w:hint="eastAsia" w:ascii="仿宋_GB2312" w:hAnsi="Arial Narrow" w:eastAsia="仿宋_GB2312" w:cs="Arial"/>
          <w:sz w:val="28"/>
          <w:szCs w:val="30"/>
        </w:rPr>
        <w:t>参赛队</w:t>
      </w:r>
      <w:r>
        <w:rPr>
          <w:rFonts w:ascii="仿宋_GB2312" w:hAnsi="Arial Narrow" w:eastAsia="仿宋_GB2312" w:cs="Arial"/>
          <w:sz w:val="28"/>
          <w:szCs w:val="30"/>
        </w:rPr>
        <w:t>，视其情节轻重</w:t>
      </w:r>
      <w:r>
        <w:rPr>
          <w:rFonts w:hint="eastAsia" w:ascii="仿宋_GB2312" w:hAnsi="Arial Narrow" w:eastAsia="仿宋_GB2312" w:cs="Arial"/>
          <w:sz w:val="28"/>
          <w:szCs w:val="30"/>
        </w:rPr>
        <w:t>，按照《全国职业院校技能大赛奖惩办法》</w:t>
      </w:r>
      <w:r>
        <w:rPr>
          <w:rFonts w:ascii="仿宋_GB2312" w:hAnsi="Arial Narrow" w:eastAsia="仿宋_GB2312" w:cs="Arial"/>
          <w:sz w:val="28"/>
          <w:szCs w:val="30"/>
        </w:rPr>
        <w:t>给予警告</w:t>
      </w:r>
      <w:r>
        <w:rPr>
          <w:rFonts w:hint="eastAsia" w:ascii="仿宋_GB2312" w:hAnsi="Arial Narrow" w:eastAsia="仿宋_GB2312" w:cs="Arial"/>
          <w:sz w:val="28"/>
          <w:szCs w:val="30"/>
        </w:rPr>
        <w:t>、</w:t>
      </w:r>
      <w:r>
        <w:rPr>
          <w:rFonts w:ascii="仿宋_GB2312" w:hAnsi="Arial Narrow" w:eastAsia="仿宋_GB2312" w:cs="Arial"/>
          <w:sz w:val="28"/>
          <w:szCs w:val="30"/>
        </w:rPr>
        <w:t>取消</w:t>
      </w:r>
      <w:r>
        <w:rPr>
          <w:rFonts w:hint="eastAsia" w:ascii="仿宋_GB2312" w:hAnsi="Arial Narrow" w:eastAsia="仿宋_GB2312" w:cs="Arial"/>
          <w:sz w:val="28"/>
          <w:szCs w:val="30"/>
        </w:rPr>
        <w:t>比赛</w:t>
      </w:r>
      <w:r>
        <w:rPr>
          <w:rFonts w:ascii="仿宋_GB2312" w:hAnsi="Arial Narrow" w:eastAsia="仿宋_GB2312" w:cs="Arial"/>
          <w:sz w:val="28"/>
          <w:szCs w:val="30"/>
        </w:rPr>
        <w:t>成绩</w:t>
      </w:r>
      <w:r>
        <w:rPr>
          <w:rFonts w:hint="eastAsia" w:ascii="仿宋_GB2312" w:hAnsi="Arial Narrow" w:eastAsia="仿宋_GB2312" w:cs="Arial"/>
          <w:sz w:val="28"/>
          <w:szCs w:val="30"/>
        </w:rPr>
        <w:t>、</w:t>
      </w:r>
      <w:r>
        <w:rPr>
          <w:rFonts w:ascii="仿宋_GB2312" w:hAnsi="Arial Narrow" w:eastAsia="仿宋_GB2312" w:cs="Arial"/>
          <w:sz w:val="28"/>
          <w:szCs w:val="30"/>
        </w:rPr>
        <w:t>通报批评</w:t>
      </w:r>
      <w:r>
        <w:rPr>
          <w:rFonts w:hint="eastAsia" w:ascii="仿宋_GB2312" w:hAnsi="Arial Narrow" w:eastAsia="仿宋_GB2312" w:cs="Arial"/>
          <w:sz w:val="28"/>
          <w:szCs w:val="30"/>
        </w:rPr>
        <w:t>等处理。其中</w:t>
      </w:r>
      <w:r>
        <w:rPr>
          <w:rFonts w:ascii="仿宋_GB2312" w:hAnsi="Arial Narrow" w:eastAsia="仿宋_GB2312" w:cs="Arial"/>
          <w:sz w:val="28"/>
          <w:szCs w:val="30"/>
        </w:rPr>
        <w:t>，</w:t>
      </w:r>
      <w:r>
        <w:rPr>
          <w:rFonts w:hint="eastAsia" w:ascii="仿宋_GB2312" w:hAnsi="Arial Narrow" w:eastAsia="仿宋_GB2312" w:cs="Arial"/>
          <w:sz w:val="28"/>
          <w:szCs w:val="30"/>
        </w:rPr>
        <w:t>对于比赛过程及有关活动</w:t>
      </w:r>
      <w:r>
        <w:rPr>
          <w:rFonts w:ascii="仿宋_GB2312" w:hAnsi="Arial Narrow" w:eastAsia="仿宋_GB2312" w:cs="Arial"/>
          <w:sz w:val="28"/>
          <w:szCs w:val="30"/>
        </w:rPr>
        <w:t>造成重</w:t>
      </w:r>
      <w:r>
        <w:rPr>
          <w:rFonts w:hint="eastAsia" w:ascii="仿宋_GB2312" w:hAnsi="Arial Narrow" w:eastAsia="仿宋_GB2312" w:cs="Arial"/>
          <w:sz w:val="28"/>
          <w:szCs w:val="30"/>
        </w:rPr>
        <w:t>大</w:t>
      </w:r>
      <w:r>
        <w:rPr>
          <w:rFonts w:ascii="仿宋_GB2312" w:hAnsi="Arial Narrow" w:eastAsia="仿宋_GB2312" w:cs="Arial"/>
          <w:sz w:val="28"/>
          <w:szCs w:val="30"/>
        </w:rPr>
        <w:t>影响的，</w:t>
      </w:r>
      <w:r>
        <w:rPr>
          <w:rFonts w:hint="eastAsia" w:ascii="仿宋_GB2312" w:hAnsi="Arial Narrow" w:eastAsia="仿宋_GB2312" w:cs="Arial"/>
          <w:sz w:val="28"/>
          <w:szCs w:val="30"/>
        </w:rPr>
        <w:t>以适当方式通告参赛院校或</w:t>
      </w:r>
      <w:r>
        <w:rPr>
          <w:rFonts w:ascii="仿宋_GB2312" w:hAnsi="Arial Narrow" w:eastAsia="仿宋_GB2312" w:cs="Arial"/>
          <w:sz w:val="28"/>
          <w:szCs w:val="30"/>
        </w:rPr>
        <w:t>其</w:t>
      </w:r>
      <w:r>
        <w:rPr>
          <w:rFonts w:hint="eastAsia" w:ascii="仿宋_GB2312" w:hAnsi="Arial Narrow" w:eastAsia="仿宋_GB2312" w:cs="Arial"/>
          <w:sz w:val="28"/>
          <w:szCs w:val="30"/>
        </w:rPr>
        <w:t>所属</w:t>
      </w:r>
      <w:r>
        <w:rPr>
          <w:rFonts w:ascii="仿宋_GB2312" w:hAnsi="Arial Narrow" w:eastAsia="仿宋_GB2312" w:cs="Arial"/>
          <w:sz w:val="28"/>
          <w:szCs w:val="30"/>
        </w:rPr>
        <w:t>地区的教育行政主管部门</w:t>
      </w:r>
      <w:r>
        <w:rPr>
          <w:rFonts w:hint="eastAsia" w:ascii="仿宋_GB2312" w:hAnsi="Arial Narrow" w:eastAsia="仿宋_GB2312" w:cs="Arial"/>
          <w:sz w:val="28"/>
          <w:szCs w:val="30"/>
        </w:rPr>
        <w:t>依据有关规定</w:t>
      </w:r>
      <w:r>
        <w:rPr>
          <w:rFonts w:ascii="仿宋_GB2312" w:hAnsi="Arial Narrow" w:eastAsia="仿宋_GB2312" w:cs="Arial"/>
          <w:sz w:val="28"/>
          <w:szCs w:val="30"/>
        </w:rPr>
        <w:t>给予行政或纪律处分</w:t>
      </w:r>
      <w:r>
        <w:rPr>
          <w:rFonts w:hint="eastAsia" w:ascii="仿宋_GB2312" w:hAnsi="Arial Narrow" w:eastAsia="仿宋_GB2312" w:cs="Arial"/>
          <w:sz w:val="28"/>
          <w:szCs w:val="30"/>
        </w:rPr>
        <w:t>，</w:t>
      </w:r>
      <w:r>
        <w:rPr>
          <w:rFonts w:ascii="仿宋_GB2312" w:hAnsi="Arial Narrow" w:eastAsia="仿宋_GB2312" w:cs="Arial"/>
          <w:sz w:val="28"/>
          <w:szCs w:val="30"/>
        </w:rPr>
        <w:t>同时</w:t>
      </w:r>
      <w:r>
        <w:rPr>
          <w:rFonts w:hint="eastAsia" w:ascii="仿宋_GB2312" w:hAnsi="Arial Narrow" w:eastAsia="仿宋_GB2312" w:cs="Arial"/>
          <w:sz w:val="28"/>
          <w:szCs w:val="30"/>
        </w:rPr>
        <w:t>停止该院校</w:t>
      </w:r>
      <w:r>
        <w:rPr>
          <w:rFonts w:ascii="仿宋_GB2312" w:hAnsi="Arial Narrow" w:eastAsia="仿宋_GB2312" w:cs="Arial"/>
          <w:sz w:val="28"/>
          <w:szCs w:val="30"/>
        </w:rPr>
        <w:t>参加全国职业院校技能大赛1</w:t>
      </w:r>
      <w:r>
        <w:rPr>
          <w:rFonts w:hint="eastAsia" w:ascii="仿宋_GB2312" w:hAnsi="Arial Narrow" w:eastAsia="仿宋_GB2312" w:cs="Arial"/>
          <w:sz w:val="28"/>
          <w:szCs w:val="30"/>
        </w:rPr>
        <w:t>年。涉及刑事犯罪的</w:t>
      </w:r>
      <w:r>
        <w:rPr>
          <w:rFonts w:ascii="仿宋_GB2312" w:hAnsi="Arial Narrow" w:eastAsia="仿宋_GB2312" w:cs="Arial"/>
          <w:sz w:val="28"/>
          <w:szCs w:val="30"/>
        </w:rPr>
        <w:t>移交司法机关处理。</w:t>
      </w:r>
    </w:p>
    <w:p w14:paraId="7E211103">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（二）指导教师须知</w:t>
      </w:r>
    </w:p>
    <w:p w14:paraId="2A254BEA">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w:t>
      </w:r>
      <w:r>
        <w:rPr>
          <w:rFonts w:hint="eastAsia" w:ascii="仿宋_GB2312" w:hAnsi="Arial Narrow" w:eastAsia="仿宋_GB2312" w:cs="Arial"/>
          <w:sz w:val="28"/>
          <w:szCs w:val="30"/>
        </w:rPr>
        <w:t>应该</w:t>
      </w:r>
      <w:r>
        <w:rPr>
          <w:rFonts w:ascii="仿宋_GB2312" w:hAnsi="Arial Narrow" w:eastAsia="仿宋_GB2312" w:cs="Arial"/>
          <w:sz w:val="28"/>
          <w:szCs w:val="30"/>
        </w:rPr>
        <w:t>根据专业</w:t>
      </w:r>
      <w:r>
        <w:rPr>
          <w:rFonts w:hint="eastAsia" w:ascii="仿宋_GB2312" w:hAnsi="Arial Narrow" w:eastAsia="仿宋_GB2312" w:cs="Arial"/>
          <w:sz w:val="28"/>
          <w:szCs w:val="30"/>
        </w:rPr>
        <w:t>教学</w:t>
      </w:r>
      <w:r>
        <w:rPr>
          <w:rFonts w:ascii="仿宋_GB2312" w:hAnsi="Arial Narrow" w:eastAsia="仿宋_GB2312" w:cs="Arial"/>
          <w:sz w:val="28"/>
          <w:szCs w:val="30"/>
        </w:rPr>
        <w:t>计划和赛项规程合理制定训练方案，</w:t>
      </w:r>
      <w:r>
        <w:rPr>
          <w:rFonts w:hint="eastAsia" w:ascii="仿宋_GB2312" w:hAnsi="Arial Narrow" w:eastAsia="仿宋_GB2312" w:cs="Arial"/>
          <w:sz w:val="28"/>
          <w:szCs w:val="30"/>
        </w:rPr>
        <w:t>认真</w:t>
      </w:r>
      <w:r>
        <w:rPr>
          <w:rFonts w:ascii="仿宋_GB2312" w:hAnsi="Arial Narrow" w:eastAsia="仿宋_GB2312" w:cs="Arial"/>
          <w:sz w:val="28"/>
          <w:szCs w:val="30"/>
        </w:rPr>
        <w:t>指导选手训练</w:t>
      </w:r>
      <w:r>
        <w:rPr>
          <w:rFonts w:hint="eastAsia" w:ascii="仿宋_GB2312" w:hAnsi="Arial Narrow" w:eastAsia="仿宋_GB2312" w:cs="Arial"/>
          <w:sz w:val="28"/>
          <w:szCs w:val="30"/>
        </w:rPr>
        <w:t>，培养</w:t>
      </w:r>
      <w:r>
        <w:rPr>
          <w:rFonts w:ascii="仿宋_GB2312" w:hAnsi="Arial Narrow" w:eastAsia="仿宋_GB2312" w:cs="Arial"/>
          <w:sz w:val="28"/>
          <w:szCs w:val="30"/>
        </w:rPr>
        <w:t>选手的综合职业能力和</w:t>
      </w:r>
      <w:r>
        <w:rPr>
          <w:rFonts w:hint="eastAsia" w:ascii="仿宋_GB2312" w:hAnsi="Arial Narrow" w:eastAsia="仿宋_GB2312" w:cs="Arial"/>
          <w:sz w:val="28"/>
          <w:szCs w:val="30"/>
        </w:rPr>
        <w:t>良好</w:t>
      </w:r>
      <w:r>
        <w:rPr>
          <w:rFonts w:ascii="仿宋_GB2312" w:hAnsi="Arial Narrow" w:eastAsia="仿宋_GB2312" w:cs="Arial"/>
          <w:sz w:val="28"/>
          <w:szCs w:val="30"/>
        </w:rPr>
        <w:t>的职业素养，克服</w:t>
      </w:r>
      <w:r>
        <w:rPr>
          <w:rFonts w:hint="eastAsia" w:ascii="仿宋_GB2312" w:hAnsi="Arial Narrow" w:eastAsia="仿宋_GB2312" w:cs="Arial"/>
          <w:sz w:val="28"/>
          <w:szCs w:val="30"/>
        </w:rPr>
        <w:t>功利化</w:t>
      </w:r>
      <w:r>
        <w:rPr>
          <w:rFonts w:ascii="仿宋_GB2312" w:hAnsi="Arial Narrow" w:eastAsia="仿宋_GB2312" w:cs="Arial"/>
          <w:sz w:val="28"/>
          <w:szCs w:val="30"/>
        </w:rPr>
        <w:t>思想，</w:t>
      </w:r>
      <w:r>
        <w:rPr>
          <w:rFonts w:hint="eastAsia" w:ascii="仿宋_GB2312" w:hAnsi="Arial Narrow" w:eastAsia="仿宋_GB2312" w:cs="Arial"/>
          <w:sz w:val="28"/>
          <w:szCs w:val="30"/>
        </w:rPr>
        <w:t>避免为赛而学</w:t>
      </w:r>
      <w:r>
        <w:rPr>
          <w:rFonts w:ascii="仿宋_GB2312" w:hAnsi="Arial Narrow" w:eastAsia="仿宋_GB2312" w:cs="Arial"/>
          <w:sz w:val="28"/>
          <w:szCs w:val="30"/>
        </w:rPr>
        <w:t>、以赛代学。</w:t>
      </w:r>
    </w:p>
    <w:p w14:paraId="4A90EB4C">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教师应该根据赛项规程要求</w:t>
      </w:r>
      <w:r>
        <w:rPr>
          <w:rFonts w:hint="eastAsia" w:ascii="仿宋_GB2312" w:hAnsi="Arial Narrow" w:eastAsia="仿宋_GB2312" w:cs="Arial"/>
          <w:sz w:val="28"/>
          <w:szCs w:val="30"/>
        </w:rPr>
        <w:t>做好参赛</w:t>
      </w:r>
      <w:r>
        <w:rPr>
          <w:rFonts w:ascii="仿宋_GB2312" w:hAnsi="Arial Narrow" w:eastAsia="仿宋_GB2312" w:cs="Arial"/>
          <w:sz w:val="28"/>
          <w:szCs w:val="30"/>
        </w:rPr>
        <w:t>选手</w:t>
      </w:r>
      <w:r>
        <w:rPr>
          <w:rFonts w:hint="eastAsia" w:ascii="仿宋_GB2312" w:hAnsi="Arial Narrow" w:eastAsia="仿宋_GB2312" w:cs="Arial"/>
          <w:sz w:val="28"/>
          <w:szCs w:val="30"/>
        </w:rPr>
        <w:t>安全</w:t>
      </w:r>
      <w:r>
        <w:rPr>
          <w:rFonts w:ascii="仿宋_GB2312" w:hAnsi="Arial Narrow" w:eastAsia="仿宋_GB2312" w:cs="Arial"/>
          <w:sz w:val="28"/>
          <w:szCs w:val="30"/>
        </w:rPr>
        <w:t>工作</w:t>
      </w:r>
      <w:r>
        <w:rPr>
          <w:rFonts w:hint="eastAsia" w:ascii="仿宋_GB2312" w:hAnsi="Arial Narrow" w:eastAsia="仿宋_GB2312" w:cs="Arial"/>
          <w:sz w:val="28"/>
          <w:szCs w:val="30"/>
        </w:rPr>
        <w:t>，并</w:t>
      </w:r>
      <w:r>
        <w:rPr>
          <w:rFonts w:ascii="仿宋_GB2312" w:hAnsi="Arial Narrow" w:eastAsia="仿宋_GB2312" w:cs="Arial"/>
          <w:sz w:val="28"/>
          <w:szCs w:val="30"/>
        </w:rPr>
        <w:t>积极做好选手的</w:t>
      </w:r>
      <w:r>
        <w:rPr>
          <w:rFonts w:hint="eastAsia" w:ascii="仿宋_GB2312" w:hAnsi="Arial Narrow" w:eastAsia="仿宋_GB2312" w:cs="Arial"/>
          <w:sz w:val="28"/>
          <w:szCs w:val="30"/>
        </w:rPr>
        <w:t>安全</w:t>
      </w:r>
      <w:r>
        <w:rPr>
          <w:rFonts w:ascii="仿宋_GB2312" w:hAnsi="Arial Narrow" w:eastAsia="仿宋_GB2312" w:cs="Arial"/>
          <w:sz w:val="28"/>
          <w:szCs w:val="30"/>
        </w:rPr>
        <w:t>教育</w:t>
      </w:r>
      <w:r>
        <w:rPr>
          <w:rFonts w:hint="eastAsia" w:ascii="仿宋_GB2312" w:hAnsi="Arial Narrow" w:eastAsia="仿宋_GB2312" w:cs="Arial"/>
          <w:sz w:val="28"/>
          <w:szCs w:val="30"/>
        </w:rPr>
        <w:t>。</w:t>
      </w:r>
    </w:p>
    <w:p w14:paraId="5D43D92C">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w:t>
      </w:r>
      <w:r>
        <w:rPr>
          <w:rFonts w:hint="eastAsia" w:ascii="仿宋_GB2312" w:hAnsi="Arial Narrow" w:eastAsia="仿宋_GB2312" w:cs="Arial"/>
          <w:sz w:val="28"/>
          <w:szCs w:val="30"/>
        </w:rPr>
        <w:t>参加</w:t>
      </w:r>
      <w:r>
        <w:rPr>
          <w:rFonts w:ascii="仿宋_GB2312" w:hAnsi="Arial Narrow" w:eastAsia="仿宋_GB2312" w:cs="Arial"/>
          <w:sz w:val="28"/>
          <w:szCs w:val="30"/>
        </w:rPr>
        <w:t>赛项观摩</w:t>
      </w:r>
      <w:r>
        <w:rPr>
          <w:rFonts w:hint="eastAsia" w:ascii="仿宋_GB2312" w:hAnsi="Arial Narrow" w:eastAsia="仿宋_GB2312" w:cs="Arial"/>
          <w:sz w:val="28"/>
          <w:szCs w:val="30"/>
        </w:rPr>
        <w:t>等</w:t>
      </w:r>
      <w:r>
        <w:rPr>
          <w:rFonts w:ascii="仿宋_GB2312" w:hAnsi="Arial Narrow" w:eastAsia="仿宋_GB2312" w:cs="Arial"/>
          <w:sz w:val="28"/>
          <w:szCs w:val="30"/>
        </w:rPr>
        <w:t>活动，不得违反赛项规定进入赛场</w:t>
      </w:r>
      <w:r>
        <w:rPr>
          <w:rFonts w:hint="eastAsia" w:ascii="仿宋_GB2312" w:hAnsi="Arial Narrow" w:eastAsia="仿宋_GB2312" w:cs="Arial"/>
          <w:sz w:val="28"/>
          <w:szCs w:val="30"/>
        </w:rPr>
        <w:t>，</w:t>
      </w:r>
      <w:r>
        <w:rPr>
          <w:rFonts w:ascii="仿宋_GB2312" w:hAnsi="Arial Narrow" w:eastAsia="仿宋_GB2312" w:cs="Arial"/>
          <w:sz w:val="28"/>
          <w:szCs w:val="30"/>
        </w:rPr>
        <w:t>干扰比赛正常进行</w:t>
      </w:r>
      <w:r>
        <w:rPr>
          <w:rFonts w:hint="eastAsia" w:ascii="仿宋_GB2312" w:hAnsi="Arial Narrow" w:eastAsia="仿宋_GB2312" w:cs="Arial"/>
          <w:sz w:val="28"/>
          <w:szCs w:val="30"/>
        </w:rPr>
        <w:t>。</w:t>
      </w:r>
    </w:p>
    <w:p w14:paraId="2B4FA17A">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（三）参赛选手须知</w:t>
      </w:r>
    </w:p>
    <w:p w14:paraId="647389B8">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1.</w:t>
      </w:r>
      <w:r>
        <w:rPr>
          <w:rFonts w:hint="eastAsia" w:ascii="仿宋_GB2312" w:hAnsi="Arial Narrow" w:eastAsia="仿宋_GB2312" w:cs="Arial"/>
          <w:sz w:val="28"/>
          <w:szCs w:val="30"/>
        </w:rPr>
        <w:t>参赛选手凭赛项执委会颁发的参赛凭证和有效身份证件（身份证、学生证）参加竞赛及相关活动，在赛场内操作期间应当始终佩带参赛凭证以备检查。</w:t>
      </w:r>
    </w:p>
    <w:p w14:paraId="227D9198">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参赛选手须严格按规定时间进入比赛场地，对现场条件进行确认并签字，按统一指令开始竞赛，在收到开赛信号前不得启动操作。各参赛队自行决定分工、工作程序和时间安排，在指定工位上完成竞赛项目。</w:t>
      </w:r>
    </w:p>
    <w:p w14:paraId="07B5F8CA">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3.</w:t>
      </w:r>
      <w:r>
        <w:rPr>
          <w:rFonts w:hint="eastAsia" w:ascii="仿宋_GB2312" w:hAnsi="Arial Narrow" w:eastAsia="仿宋_GB2312" w:cs="Arial"/>
          <w:sz w:val="28"/>
          <w:szCs w:val="30"/>
        </w:rPr>
        <w:t>参赛选手不允许携带任何竞赛</w:t>
      </w:r>
      <w:r>
        <w:rPr>
          <w:rFonts w:ascii="仿宋_GB2312" w:hAnsi="Arial Narrow" w:eastAsia="仿宋_GB2312" w:cs="Arial"/>
          <w:sz w:val="28"/>
          <w:szCs w:val="30"/>
        </w:rPr>
        <w:t>规程</w:t>
      </w:r>
      <w:r>
        <w:rPr>
          <w:rFonts w:hint="eastAsia" w:ascii="仿宋_GB2312" w:hAnsi="Arial Narrow" w:eastAsia="仿宋_GB2312" w:cs="Arial"/>
          <w:sz w:val="28"/>
          <w:szCs w:val="30"/>
        </w:rPr>
        <w:t>禁止</w:t>
      </w:r>
      <w:r>
        <w:rPr>
          <w:rFonts w:ascii="仿宋_GB2312" w:hAnsi="Arial Narrow" w:eastAsia="仿宋_GB2312" w:cs="Arial"/>
          <w:sz w:val="28"/>
          <w:szCs w:val="30"/>
        </w:rPr>
        <w:t>使用的</w:t>
      </w:r>
      <w:r>
        <w:rPr>
          <w:rFonts w:hint="eastAsia" w:ascii="仿宋_GB2312" w:hAnsi="Arial Narrow" w:eastAsia="仿宋_GB2312" w:cs="Arial"/>
          <w:sz w:val="28"/>
          <w:szCs w:val="30"/>
        </w:rPr>
        <w:t>电子产品及通讯工具，以及其它与竞赛有关的资料和书籍，不得以任何方式泄露参赛院校、选手姓名等涉及竞赛场上应该保密的信息。</w:t>
      </w:r>
    </w:p>
    <w:p w14:paraId="1C084DD4">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4.</w:t>
      </w:r>
      <w:r>
        <w:rPr>
          <w:rFonts w:hint="eastAsia" w:ascii="仿宋_GB2312" w:hAnsi="Arial Narrow" w:eastAsia="仿宋_GB2312" w:cs="Arial"/>
          <w:sz w:val="28"/>
          <w:szCs w:val="30"/>
        </w:rPr>
        <w:t>参赛选手比赛时间内连续工作，食品、饮水等由赛场统一提供。选手休息、饮食及如厕时间均计算在比赛时间内。</w:t>
      </w:r>
    </w:p>
    <w:p w14:paraId="091703CD">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5.</w:t>
      </w:r>
      <w:r>
        <w:rPr>
          <w:rFonts w:hint="eastAsia" w:ascii="仿宋_GB2312" w:hAnsi="Arial Narrow" w:eastAsia="仿宋_GB2312" w:cs="Arial"/>
          <w:sz w:val="28"/>
          <w:szCs w:val="30"/>
        </w:rPr>
        <w:t>竞赛期间，参赛选手不得提前离开赛场。如特殊原因（如身体不适等）无法继续参赛的，需举手请示裁判，经裁判同意后方可离开赛场。选手离开赛场后不得在场外逗留，也不得再返回赛场。</w:t>
      </w:r>
    </w:p>
    <w:p w14:paraId="6B39BDCF">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竞赛结束时间到后，选手不得再进行任何与竞赛有关的操作。参赛队若提前结束比赛，应向裁判员举手示意，裁判员记录比赛完成时间。</w:t>
      </w:r>
    </w:p>
    <w:p w14:paraId="03BB510B">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7.</w:t>
      </w:r>
      <w:r>
        <w:rPr>
          <w:rFonts w:hint="eastAsia" w:ascii="仿宋_GB2312" w:hAnsi="Arial Narrow" w:eastAsia="仿宋_GB2312" w:cs="Arial"/>
          <w:sz w:val="28"/>
          <w:szCs w:val="30"/>
        </w:rPr>
        <w:t>参赛选手须按照竞赛要求及规定提交竞赛结果及相关文件，禁止在竞赛成果上做任何与竞赛无关的标记，如单位名称、参赛者姓名等，否则视为作弊。</w:t>
      </w:r>
    </w:p>
    <w:p w14:paraId="28209982">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8.</w:t>
      </w:r>
      <w:r>
        <w:rPr>
          <w:rFonts w:hint="eastAsia" w:ascii="仿宋_GB2312" w:hAnsi="Arial Narrow" w:eastAsia="仿宋_GB2312" w:cs="Arial"/>
          <w:sz w:val="28"/>
          <w:szCs w:val="30"/>
        </w:rPr>
        <w:t>参赛选手须严格遵守操作规程，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w:t>
      </w:r>
    </w:p>
    <w:p w14:paraId="476C6FC6">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9.</w:t>
      </w:r>
      <w:r>
        <w:rPr>
          <w:rFonts w:hint="eastAsia" w:ascii="仿宋_GB2312" w:hAnsi="Arial Narrow" w:eastAsia="仿宋_GB2312" w:cs="Arial"/>
          <w:sz w:val="28"/>
          <w:szCs w:val="30"/>
        </w:rPr>
        <w:t>参赛选手须严格遵守赛场规章制度、服从裁判，文明竞赛。有作弊行为的，参赛队该项成绩为0分；如有不服从裁判、扰乱赛场秩序等不文明行为，按照相关规定扣减分数，情节严重的取消比赛资格和成绩。</w:t>
      </w:r>
    </w:p>
    <w:p w14:paraId="5753E773">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10.</w:t>
      </w:r>
      <w:r>
        <w:rPr>
          <w:rFonts w:hint="eastAsia" w:ascii="仿宋_GB2312" w:hAnsi="Arial Narrow" w:eastAsia="仿宋_GB2312" w:cs="Arial"/>
          <w:sz w:val="28"/>
          <w:szCs w:val="30"/>
        </w:rPr>
        <w:t>为培养技能型人才的工作风格，在参赛期间，参赛选手应当注意保持工作环境及设备摆放，符合企业生产“5S”（即整理、整顿、清扫、清洁和素养）的原则，如果过于脏乱，裁判员有权酌情扣分。</w:t>
      </w:r>
    </w:p>
    <w:p w14:paraId="65D72C43">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（四）工作人员须知</w:t>
      </w:r>
    </w:p>
    <w:p w14:paraId="00015429">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1.服从赛项执委会的领导，遵守职业道德、坚持原则、按章办事，以高度负责的精神、严肃认真的态度和严谨细致的作风做好工作，为赛场提供有序的服务。</w:t>
      </w:r>
    </w:p>
    <w:p w14:paraId="10DE9CA9">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2.佩带工作人员证件，仪表整洁，</w:t>
      </w:r>
      <w:r>
        <w:rPr>
          <w:rFonts w:ascii="仿宋_GB2312" w:hAnsi="Arial Narrow" w:eastAsia="仿宋_GB2312" w:cs="Arial"/>
          <w:sz w:val="28"/>
          <w:szCs w:val="30"/>
        </w:rPr>
        <w:t>忠于职守，</w:t>
      </w:r>
      <w:r>
        <w:rPr>
          <w:rFonts w:hint="eastAsia" w:ascii="仿宋_GB2312" w:hAnsi="Arial Narrow" w:eastAsia="仿宋_GB2312" w:cs="Arial"/>
          <w:sz w:val="28"/>
          <w:szCs w:val="30"/>
        </w:rPr>
        <w:t>语言举止文明礼貌。</w:t>
      </w:r>
    </w:p>
    <w:p w14:paraId="1412BEC4">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3.熟悉《竞赛规程》，认真执行竞赛规则，严格按照工作程序和有关规定办事，</w:t>
      </w:r>
      <w:r>
        <w:rPr>
          <w:rFonts w:ascii="仿宋_GB2312" w:hAnsi="Arial Narrow" w:eastAsia="仿宋_GB2312" w:cs="Arial"/>
          <w:sz w:val="28"/>
          <w:szCs w:val="30"/>
        </w:rPr>
        <w:t>遇突发事件，按照应急预案，组织指挥人员疏散，确保人员安全。</w:t>
      </w:r>
    </w:p>
    <w:p w14:paraId="21E10887">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4.</w:t>
      </w:r>
      <w:r>
        <w:rPr>
          <w:rFonts w:hint="eastAsia" w:ascii="仿宋_GB2312" w:hAnsi="Arial Narrow" w:eastAsia="仿宋_GB2312" w:cs="Arial"/>
          <w:sz w:val="28"/>
          <w:szCs w:val="30"/>
        </w:rPr>
        <w:t>坚守岗位，不迟到，不早退，不擅离职守。</w:t>
      </w:r>
    </w:p>
    <w:p w14:paraId="03A9EBC7">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5</w:t>
      </w:r>
      <w:r>
        <w:rPr>
          <w:rFonts w:ascii="仿宋_GB2312" w:hAnsi="Arial Narrow" w:eastAsia="仿宋_GB2312" w:cs="Arial"/>
          <w:sz w:val="28"/>
          <w:szCs w:val="30"/>
        </w:rPr>
        <w:t>.</w:t>
      </w:r>
      <w:r>
        <w:rPr>
          <w:rFonts w:hint="eastAsia" w:ascii="仿宋_GB2312" w:hAnsi="Arial Narrow" w:eastAsia="仿宋_GB2312" w:cs="Arial"/>
          <w:sz w:val="28"/>
          <w:szCs w:val="30"/>
        </w:rPr>
        <w:t>赛场工作人员要积极维护好赛场秩序，以利于参赛选手正常发挥水平。</w:t>
      </w:r>
    </w:p>
    <w:p w14:paraId="4F976C0F">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赛场工作人员在比赛中不回答选手提出的任何有关比赛技术问题，如遇争议问题，需上报执委会。</w:t>
      </w:r>
    </w:p>
    <w:p w14:paraId="50299323">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十六、申诉与仲裁</w:t>
      </w:r>
    </w:p>
    <w:p w14:paraId="2283B554">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各参赛队对不符合大赛和赛项规程规定的仪器、设备、工装、材料、物件、计算机软硬件、竞赛使用工具、用品，竞赛执裁、赛场管理，以及工作人员的不规范行为等，可向赛项监督仲裁组提出申诉。申诉主体为参赛队领队。参赛队领队可在比赛结束后2小时之内向监督仲裁组提出书面申诉。</w:t>
      </w:r>
    </w:p>
    <w:p w14:paraId="000EDA5D">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2.</w:t>
      </w:r>
      <w:r>
        <w:rPr>
          <w:rFonts w:hint="eastAsia" w:ascii="仿宋_GB2312" w:hAnsi="Arial Narrow" w:eastAsia="仿宋_GB2312" w:cs="Arial"/>
          <w:sz w:val="28"/>
          <w:szCs w:val="30"/>
        </w:rPr>
        <w:t>书面申诉应对申诉事件的现象、发生时间、涉及人员、申诉依据等进行充分、实事求是的叙述，并由领队亲笔签名。非书面申诉不予受理。</w:t>
      </w:r>
    </w:p>
    <w:p w14:paraId="0E92396D">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3.</w:t>
      </w:r>
      <w:r>
        <w:rPr>
          <w:rFonts w:hint="eastAsia" w:ascii="仿宋_GB2312" w:hAnsi="Arial Narrow" w:eastAsia="仿宋_GB2312" w:cs="Arial"/>
          <w:sz w:val="28"/>
          <w:szCs w:val="30"/>
        </w:rPr>
        <w:t>赛项监督仲裁组</w:t>
      </w:r>
      <w:r>
        <w:rPr>
          <w:rFonts w:hint="eastAsia" w:ascii="仿宋_GB2312" w:eastAsia="仿宋_GB2312"/>
          <w:sz w:val="28"/>
        </w:rPr>
        <w:t>收到申诉报告后，应根据申诉事由进行审查，2小时内通知申诉方，告知申诉处理结果</w:t>
      </w:r>
      <w:r>
        <w:rPr>
          <w:rFonts w:hint="eastAsia" w:ascii="仿宋_GB2312" w:hAnsi="Arial Narrow" w:eastAsia="仿宋_GB2312" w:cs="Arial"/>
          <w:sz w:val="28"/>
          <w:szCs w:val="30"/>
        </w:rPr>
        <w:t>。</w:t>
      </w:r>
    </w:p>
    <w:p w14:paraId="2EFF5FCB">
      <w:pPr>
        <w:snapToGrid w:val="0"/>
        <w:spacing w:line="560" w:lineRule="exact"/>
        <w:ind w:firstLine="560" w:firstLineChars="200"/>
        <w:rPr>
          <w:rFonts w:ascii="仿宋_GB2312" w:hAnsi="Arial Narrow" w:eastAsia="仿宋_GB2312" w:cs="Arial"/>
          <w:sz w:val="28"/>
          <w:szCs w:val="30"/>
        </w:rPr>
      </w:pPr>
      <w:r>
        <w:rPr>
          <w:rFonts w:hint="eastAsia" w:ascii="仿宋_GB2312" w:eastAsia="仿宋_GB2312"/>
          <w:sz w:val="28"/>
        </w:rPr>
        <w:t>4.申诉人不得无故拒不接受处理结果，不允许采取过激行为刁难、攻击工作人员，否则视为放弃申诉。申诉人不满意赛项仲裁工作组的处理结果的，可向大赛仲裁委员会提出复议申请。大赛仲裁委员会在接到复议申请后的1天内组织复议，并及时反馈复议结果。大赛仲裁委员会的仲裁结果为最终结果</w:t>
      </w:r>
      <w:r>
        <w:rPr>
          <w:rFonts w:ascii="仿宋_GB2312" w:eastAsia="仿宋_GB2312"/>
          <w:sz w:val="28"/>
        </w:rPr>
        <w:t>。</w:t>
      </w:r>
    </w:p>
    <w:p w14:paraId="67663411">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5.</w:t>
      </w:r>
      <w:r>
        <w:rPr>
          <w:rFonts w:hint="eastAsia" w:ascii="仿宋_GB2312" w:hAnsi="Arial Narrow" w:eastAsia="仿宋_GB2312" w:cs="Arial"/>
          <w:sz w:val="28"/>
          <w:szCs w:val="30"/>
        </w:rPr>
        <w:t>仲裁结果由申诉人签收，不能代收，如在约定时间和地点申诉人离开，视为自行放弃申诉。</w:t>
      </w:r>
    </w:p>
    <w:p w14:paraId="02198292">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申诉方可随时提出放弃申诉。</w:t>
      </w:r>
    </w:p>
    <w:p w14:paraId="23143945">
      <w:pPr>
        <w:snapToGrid w:val="0"/>
        <w:spacing w:line="56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7.</w:t>
      </w:r>
      <w:r>
        <w:rPr>
          <w:rFonts w:hint="eastAsia" w:ascii="仿宋_GB2312" w:hAnsi="Arial Narrow" w:eastAsia="仿宋_GB2312" w:cs="Arial"/>
          <w:sz w:val="28"/>
          <w:szCs w:val="30"/>
        </w:rPr>
        <w:t>申诉方不得以任何理由采取过激行为扰乱赛场秩序。</w:t>
      </w:r>
    </w:p>
    <w:p w14:paraId="654C3E74">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十七、竞赛观摩</w:t>
      </w:r>
    </w:p>
    <w:p w14:paraId="7EF0323C">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w:t>
      </w:r>
      <w:r>
        <w:rPr>
          <w:rFonts w:ascii="Arial Narrow" w:hAnsi="Arial Narrow" w:eastAsia="仿宋_GB2312" w:cs="Arial"/>
          <w:sz w:val="28"/>
          <w:szCs w:val="30"/>
        </w:rPr>
        <w:t>一）</w:t>
      </w:r>
      <w:r>
        <w:rPr>
          <w:rFonts w:hint="eastAsia" w:ascii="Arial Narrow" w:hAnsi="Arial Narrow" w:eastAsia="仿宋_GB2312" w:cs="Arial"/>
          <w:sz w:val="28"/>
          <w:szCs w:val="30"/>
        </w:rPr>
        <w:t>竞</w:t>
      </w:r>
      <w:r>
        <w:rPr>
          <w:rFonts w:ascii="Arial Narrow" w:hAnsi="Arial Narrow" w:eastAsia="仿宋_GB2312" w:cs="Arial"/>
          <w:sz w:val="28"/>
          <w:szCs w:val="30"/>
        </w:rPr>
        <w:t>赛观摩</w:t>
      </w:r>
    </w:p>
    <w:p w14:paraId="2C2280E9">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媒体观众可以在不打扰选手竞赛的要求下，沿现场指定观摩通道有组织参观竞赛现场，了解</w:t>
      </w:r>
      <w:r>
        <w:rPr>
          <w:rFonts w:hint="eastAsia" w:ascii="仿宋_GB2312" w:hAnsi="Arial Narrow" w:eastAsia="仿宋_GB2312" w:cs="Arial"/>
          <w:sz w:val="28"/>
          <w:szCs w:val="30"/>
          <w:lang w:eastAsia="zh-CN"/>
        </w:rPr>
        <w:t>智能机器全景应用</w:t>
      </w:r>
      <w:r>
        <w:rPr>
          <w:rFonts w:hint="eastAsia" w:ascii="仿宋_GB2312" w:hAnsi="Arial Narrow" w:eastAsia="仿宋_GB2312" w:cs="Arial"/>
          <w:sz w:val="28"/>
          <w:szCs w:val="30"/>
        </w:rPr>
        <w:t>技术及职业教育教学成果。</w:t>
      </w:r>
    </w:p>
    <w:p w14:paraId="549DBDA0">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在赛场外布置开放式展区，对</w:t>
      </w:r>
      <w:r>
        <w:rPr>
          <w:rFonts w:hint="eastAsia" w:ascii="仿宋_GB2312" w:hAnsi="Arial Narrow" w:eastAsia="仿宋_GB2312" w:cs="Arial"/>
          <w:sz w:val="28"/>
          <w:szCs w:val="30"/>
          <w:lang w:eastAsia="zh-CN"/>
        </w:rPr>
        <w:t>智能机器全景应用</w:t>
      </w:r>
      <w:r>
        <w:rPr>
          <w:rFonts w:hint="eastAsia" w:ascii="仿宋_GB2312" w:hAnsi="Arial Narrow" w:eastAsia="仿宋_GB2312" w:cs="Arial"/>
          <w:sz w:val="28"/>
          <w:szCs w:val="30"/>
        </w:rPr>
        <w:t>技术应用进行科普宣传，将</w:t>
      </w:r>
      <w:r>
        <w:rPr>
          <w:rFonts w:hint="eastAsia" w:ascii="仿宋_GB2312" w:hAnsi="Arial Narrow" w:eastAsia="仿宋_GB2312" w:cs="Arial"/>
          <w:sz w:val="28"/>
          <w:szCs w:val="30"/>
          <w:lang w:eastAsia="zh-CN"/>
        </w:rPr>
        <w:t>智能机器全景应用</w:t>
      </w:r>
      <w:r>
        <w:rPr>
          <w:rFonts w:hint="eastAsia" w:ascii="仿宋_GB2312" w:hAnsi="Arial Narrow" w:eastAsia="仿宋_GB2312" w:cs="Arial"/>
          <w:sz w:val="28"/>
          <w:szCs w:val="30"/>
        </w:rPr>
        <w:t>技术应用在人们生活中的应用或者未来生活的应用对公众进行展现。</w:t>
      </w:r>
    </w:p>
    <w:p w14:paraId="01BC5BE1">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w:t>
      </w:r>
      <w:r>
        <w:rPr>
          <w:rFonts w:ascii="Arial Narrow" w:hAnsi="Arial Narrow" w:eastAsia="仿宋_GB2312" w:cs="Arial"/>
          <w:sz w:val="28"/>
          <w:szCs w:val="30"/>
        </w:rPr>
        <w:t>二）</w:t>
      </w:r>
      <w:r>
        <w:rPr>
          <w:rFonts w:hint="eastAsia" w:ascii="Arial Narrow" w:hAnsi="Arial Narrow" w:eastAsia="仿宋_GB2312" w:cs="Arial"/>
          <w:sz w:val="28"/>
          <w:szCs w:val="30"/>
        </w:rPr>
        <w:t>组织</w:t>
      </w:r>
      <w:r>
        <w:rPr>
          <w:rFonts w:ascii="Arial Narrow" w:hAnsi="Arial Narrow" w:eastAsia="仿宋_GB2312" w:cs="Arial"/>
          <w:sz w:val="28"/>
          <w:szCs w:val="30"/>
        </w:rPr>
        <w:t>安排</w:t>
      </w:r>
    </w:p>
    <w:p w14:paraId="2F0416AD">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观摩</w:t>
      </w:r>
      <w:r>
        <w:rPr>
          <w:rFonts w:ascii="仿宋_GB2312" w:hAnsi="Arial Narrow" w:eastAsia="仿宋_GB2312" w:cs="Arial"/>
          <w:sz w:val="28"/>
          <w:szCs w:val="30"/>
        </w:rPr>
        <w:t>团</w:t>
      </w:r>
      <w:r>
        <w:rPr>
          <w:rFonts w:hint="eastAsia" w:ascii="仿宋_GB2312" w:hAnsi="Arial Narrow" w:eastAsia="仿宋_GB2312" w:cs="Arial"/>
          <w:sz w:val="28"/>
          <w:szCs w:val="30"/>
        </w:rPr>
        <w:t>在竞赛工作</w:t>
      </w:r>
      <w:r>
        <w:rPr>
          <w:rFonts w:ascii="仿宋_GB2312" w:hAnsi="Arial Narrow" w:eastAsia="仿宋_GB2312" w:cs="Arial"/>
          <w:sz w:val="28"/>
          <w:szCs w:val="30"/>
        </w:rPr>
        <w:t>人员</w:t>
      </w:r>
      <w:r>
        <w:rPr>
          <w:rFonts w:hint="eastAsia" w:ascii="仿宋_GB2312" w:hAnsi="Arial Narrow" w:eastAsia="仿宋_GB2312" w:cs="Arial"/>
          <w:sz w:val="28"/>
          <w:szCs w:val="30"/>
        </w:rPr>
        <w:t>带领下</w:t>
      </w:r>
      <w:r>
        <w:rPr>
          <w:rFonts w:ascii="仿宋_GB2312" w:hAnsi="Arial Narrow" w:eastAsia="仿宋_GB2312" w:cs="Arial"/>
          <w:sz w:val="28"/>
          <w:szCs w:val="30"/>
        </w:rPr>
        <w:t>，分</w:t>
      </w:r>
      <w:r>
        <w:rPr>
          <w:rFonts w:hint="eastAsia" w:ascii="仿宋_GB2312" w:hAnsi="Arial Narrow" w:eastAsia="仿宋_GB2312" w:cs="Arial"/>
          <w:sz w:val="28"/>
          <w:szCs w:val="30"/>
        </w:rPr>
        <w:t>批次到赛场观摩比赛。</w:t>
      </w:r>
    </w:p>
    <w:p w14:paraId="43DEA391">
      <w:pPr>
        <w:snapToGrid w:val="0"/>
        <w:spacing w:line="560" w:lineRule="exact"/>
        <w:ind w:firstLine="280" w:firstLineChars="100"/>
        <w:outlineLvl w:val="0"/>
        <w:rPr>
          <w:rFonts w:ascii="Arial Narrow" w:hAnsi="Arial Narrow" w:eastAsia="仿宋_GB2312" w:cs="Arial"/>
          <w:sz w:val="28"/>
          <w:szCs w:val="30"/>
        </w:rPr>
      </w:pPr>
      <w:r>
        <w:rPr>
          <w:rFonts w:hint="eastAsia" w:ascii="Arial Narrow" w:hAnsi="Arial Narrow" w:eastAsia="仿宋_GB2312" w:cs="Arial"/>
          <w:sz w:val="28"/>
          <w:szCs w:val="30"/>
        </w:rPr>
        <w:t>（</w:t>
      </w:r>
      <w:r>
        <w:rPr>
          <w:rFonts w:ascii="Arial Narrow" w:hAnsi="Arial Narrow" w:eastAsia="仿宋_GB2312" w:cs="Arial"/>
          <w:sz w:val="28"/>
          <w:szCs w:val="30"/>
        </w:rPr>
        <w:t>三）</w:t>
      </w:r>
      <w:r>
        <w:rPr>
          <w:rFonts w:hint="eastAsia" w:ascii="Arial Narrow" w:hAnsi="Arial Narrow" w:eastAsia="仿宋_GB2312" w:cs="Arial"/>
          <w:sz w:val="28"/>
          <w:szCs w:val="30"/>
        </w:rPr>
        <w:t>纪律</w:t>
      </w:r>
      <w:r>
        <w:rPr>
          <w:rFonts w:ascii="Arial Narrow" w:hAnsi="Arial Narrow" w:eastAsia="仿宋_GB2312" w:cs="Arial"/>
          <w:sz w:val="28"/>
          <w:szCs w:val="30"/>
        </w:rPr>
        <w:t>要求</w:t>
      </w:r>
    </w:p>
    <w:p w14:paraId="5ED1AF76">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观摩团</w:t>
      </w:r>
      <w:r>
        <w:rPr>
          <w:rFonts w:ascii="仿宋_GB2312" w:hAnsi="Arial Narrow" w:eastAsia="仿宋_GB2312" w:cs="Arial"/>
          <w:sz w:val="28"/>
          <w:szCs w:val="30"/>
        </w:rPr>
        <w:t>成</w:t>
      </w:r>
      <w:r>
        <w:rPr>
          <w:rFonts w:hint="eastAsia" w:ascii="仿宋_GB2312" w:hAnsi="Arial Narrow" w:eastAsia="仿宋_GB2312" w:cs="Arial"/>
          <w:sz w:val="28"/>
          <w:szCs w:val="30"/>
        </w:rPr>
        <w:t>员在赛场需</w:t>
      </w:r>
      <w:r>
        <w:rPr>
          <w:rFonts w:ascii="仿宋_GB2312" w:hAnsi="Arial Narrow" w:eastAsia="仿宋_GB2312" w:cs="Arial"/>
          <w:sz w:val="28"/>
          <w:szCs w:val="30"/>
        </w:rPr>
        <w:t>保</w:t>
      </w:r>
      <w:r>
        <w:rPr>
          <w:rFonts w:hint="eastAsia" w:ascii="仿宋_GB2312" w:hAnsi="Arial Narrow" w:eastAsia="仿宋_GB2312" w:cs="Arial"/>
          <w:sz w:val="28"/>
          <w:szCs w:val="30"/>
        </w:rPr>
        <w:t>持安静，沿现场指定观摩通道有组织地参观竞赛现场，不</w:t>
      </w:r>
      <w:r>
        <w:rPr>
          <w:rFonts w:ascii="仿宋_GB2312" w:hAnsi="Arial Narrow" w:eastAsia="仿宋_GB2312" w:cs="Arial"/>
          <w:sz w:val="28"/>
          <w:szCs w:val="30"/>
        </w:rPr>
        <w:t>可进</w:t>
      </w:r>
      <w:r>
        <w:rPr>
          <w:rFonts w:hint="eastAsia" w:ascii="仿宋_GB2312" w:hAnsi="Arial Narrow" w:eastAsia="仿宋_GB2312" w:cs="Arial"/>
          <w:sz w:val="28"/>
          <w:szCs w:val="30"/>
        </w:rPr>
        <w:t>入比</w:t>
      </w:r>
      <w:r>
        <w:rPr>
          <w:rFonts w:ascii="仿宋_GB2312" w:hAnsi="Arial Narrow" w:eastAsia="仿宋_GB2312" w:cs="Arial"/>
          <w:sz w:val="28"/>
          <w:szCs w:val="30"/>
        </w:rPr>
        <w:t>赛</w:t>
      </w:r>
      <w:r>
        <w:rPr>
          <w:rFonts w:hint="eastAsia" w:ascii="仿宋_GB2312" w:hAnsi="Arial Narrow" w:eastAsia="仿宋_GB2312" w:cs="Arial"/>
          <w:sz w:val="28"/>
          <w:szCs w:val="30"/>
        </w:rPr>
        <w:t>区域，不</w:t>
      </w:r>
      <w:r>
        <w:rPr>
          <w:rFonts w:ascii="仿宋_GB2312" w:hAnsi="Arial Narrow" w:eastAsia="仿宋_GB2312" w:cs="Arial"/>
          <w:sz w:val="28"/>
          <w:szCs w:val="30"/>
        </w:rPr>
        <w:t>可</w:t>
      </w:r>
      <w:r>
        <w:rPr>
          <w:rFonts w:hint="eastAsia" w:ascii="仿宋_GB2312" w:hAnsi="Arial Narrow" w:eastAsia="仿宋_GB2312" w:cs="Arial"/>
          <w:sz w:val="28"/>
          <w:szCs w:val="30"/>
        </w:rPr>
        <w:t>接触设备，</w:t>
      </w:r>
      <w:r>
        <w:rPr>
          <w:rFonts w:ascii="仿宋_GB2312" w:hAnsi="Arial Narrow" w:eastAsia="仿宋_GB2312" w:cs="Arial"/>
          <w:sz w:val="28"/>
          <w:szCs w:val="30"/>
        </w:rPr>
        <w:t>影响</w:t>
      </w:r>
      <w:r>
        <w:rPr>
          <w:rFonts w:hint="eastAsia" w:ascii="仿宋_GB2312" w:hAnsi="Arial Narrow" w:eastAsia="仿宋_GB2312" w:cs="Arial"/>
          <w:sz w:val="28"/>
          <w:szCs w:val="30"/>
        </w:rPr>
        <w:t>选手比</w:t>
      </w:r>
      <w:r>
        <w:rPr>
          <w:rFonts w:ascii="仿宋_GB2312" w:hAnsi="Arial Narrow" w:eastAsia="仿宋_GB2312" w:cs="Arial"/>
          <w:sz w:val="28"/>
          <w:szCs w:val="30"/>
        </w:rPr>
        <w:t xml:space="preserve">赛。 </w:t>
      </w:r>
    </w:p>
    <w:p w14:paraId="173D915A">
      <w:r>
        <w:rPr>
          <w:rFonts w:hint="eastAsia" w:ascii="仿宋_GB2312" w:hAnsi="Arial Narrow" w:eastAsia="仿宋_GB2312" w:cs="Arial"/>
          <w:sz w:val="28"/>
          <w:szCs w:val="30"/>
        </w:rPr>
        <w:t>观摩</w:t>
      </w:r>
      <w:r>
        <w:rPr>
          <w:rFonts w:ascii="仿宋_GB2312" w:hAnsi="Arial Narrow" w:eastAsia="仿宋_GB2312" w:cs="Arial"/>
          <w:sz w:val="28"/>
          <w:szCs w:val="30"/>
        </w:rPr>
        <w:t>者不</w:t>
      </w:r>
      <w:r>
        <w:rPr>
          <w:rFonts w:hint="eastAsia" w:ascii="仿宋_GB2312" w:hAnsi="Arial Narrow" w:eastAsia="仿宋_GB2312" w:cs="Arial"/>
          <w:sz w:val="28"/>
          <w:szCs w:val="30"/>
        </w:rPr>
        <w:t>可携带手机、IPAD等通讯工</w:t>
      </w:r>
      <w:r>
        <w:rPr>
          <w:rFonts w:ascii="仿宋_GB2312" w:hAnsi="Arial Narrow" w:eastAsia="仿宋_GB2312" w:cs="Arial"/>
          <w:sz w:val="28"/>
          <w:szCs w:val="30"/>
        </w:rPr>
        <w:t>具</w:t>
      </w:r>
      <w:r>
        <w:rPr>
          <w:rFonts w:hint="eastAsia" w:ascii="仿宋_GB2312" w:hAnsi="Arial Narrow" w:eastAsia="仿宋_GB2312" w:cs="Arial"/>
          <w:sz w:val="28"/>
          <w:szCs w:val="30"/>
        </w:rPr>
        <w:t>进入赛</w:t>
      </w:r>
      <w:r>
        <w:rPr>
          <w:rFonts w:ascii="仿宋_GB2312" w:hAnsi="Arial Narrow" w:eastAsia="仿宋_GB2312" w:cs="Arial"/>
          <w:sz w:val="28"/>
          <w:szCs w:val="30"/>
        </w:rPr>
        <w:t>场</w:t>
      </w:r>
      <w:r>
        <w:rPr>
          <w:rFonts w:hint="eastAsia" w:ascii="仿宋_GB2312" w:hAnsi="Arial Narrow" w:eastAsia="仿宋_GB2312" w:cs="Arial"/>
          <w:sz w:val="28"/>
          <w:szCs w:val="30"/>
        </w:rPr>
        <w:t>，不</w:t>
      </w:r>
      <w:r>
        <w:rPr>
          <w:rFonts w:ascii="仿宋_GB2312" w:hAnsi="Arial Narrow" w:eastAsia="仿宋_GB2312" w:cs="Arial"/>
          <w:sz w:val="28"/>
          <w:szCs w:val="30"/>
        </w:rPr>
        <w:t>可</w:t>
      </w:r>
      <w:r>
        <w:rPr>
          <w:rFonts w:hint="eastAsia" w:ascii="仿宋_GB2312" w:hAnsi="Arial Narrow" w:eastAsia="仿宋_GB2312" w:cs="Arial"/>
          <w:sz w:val="28"/>
          <w:szCs w:val="30"/>
        </w:rPr>
        <w:t>与选手讲话、</w:t>
      </w:r>
      <w:r>
        <w:rPr>
          <w:rFonts w:ascii="仿宋_GB2312" w:hAnsi="Arial Narrow" w:eastAsia="仿宋_GB2312" w:cs="Arial"/>
          <w:sz w:val="28"/>
          <w:szCs w:val="30"/>
        </w:rPr>
        <w:t>传</w:t>
      </w:r>
      <w:r>
        <w:rPr>
          <w:rFonts w:hint="eastAsia" w:ascii="仿宋_GB2312" w:hAnsi="Arial Narrow" w:eastAsia="仿宋_GB2312" w:cs="Arial"/>
          <w:sz w:val="28"/>
          <w:szCs w:val="30"/>
        </w:rPr>
        <w:t>递信息等</w:t>
      </w:r>
      <w:r>
        <w:rPr>
          <w:rFonts w:ascii="仿宋_GB2312" w:hAnsi="Arial Narrow" w:eastAsia="仿宋_GB2312" w:cs="Arial"/>
          <w:sz w:val="28"/>
          <w:szCs w:val="30"/>
        </w:rPr>
        <w:t>，需</w:t>
      </w:r>
      <w:r>
        <w:rPr>
          <w:rFonts w:hint="eastAsia" w:ascii="仿宋_GB2312" w:hAnsi="Arial Narrow" w:eastAsia="仿宋_GB2312" w:cs="Arial"/>
          <w:sz w:val="28"/>
          <w:szCs w:val="30"/>
        </w:rPr>
        <w:t>遵守赛</w:t>
      </w:r>
      <w:r>
        <w:rPr>
          <w:rFonts w:ascii="仿宋_GB2312" w:hAnsi="Arial Narrow" w:eastAsia="仿宋_GB2312" w:cs="Arial"/>
          <w:sz w:val="28"/>
          <w:szCs w:val="30"/>
        </w:rPr>
        <w:t>场</w:t>
      </w:r>
      <w:r>
        <w:rPr>
          <w:rFonts w:hint="eastAsia" w:ascii="仿宋_GB2312" w:hAnsi="Arial Narrow" w:eastAsia="仿宋_GB2312" w:cs="Arial"/>
          <w:sz w:val="28"/>
          <w:szCs w:val="30"/>
        </w:rPr>
        <w:t>纪律。</w:t>
      </w:r>
    </w:p>
    <w:p w14:paraId="35E5D518">
      <w:pPr>
        <w:pStyle w:val="2"/>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十八、其他</w:t>
      </w:r>
    </w:p>
    <w:p w14:paraId="07F4890D">
      <w:pPr>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1、大赛任何工作都不应该破坏赛场周边环境。</w:t>
      </w:r>
    </w:p>
    <w:p w14:paraId="159717FC">
      <w:pPr>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2、提倡绿色环保的理念，所有可循环利用的材料都应分类处理和收集。</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1F134">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14:paraId="5FDE8E68">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D271A"/>
    <w:multiLevelType w:val="singleLevel"/>
    <w:tmpl w:val="08DD271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2YWRmZGU0MDUxMGY0NWQyMTNhNjJiOTc3NzFiMjIifQ=="/>
  </w:docVars>
  <w:rsids>
    <w:rsidRoot w:val="001E53BD"/>
    <w:rsid w:val="0001073B"/>
    <w:rsid w:val="000151EF"/>
    <w:rsid w:val="00024369"/>
    <w:rsid w:val="00027AA4"/>
    <w:rsid w:val="00033DFF"/>
    <w:rsid w:val="00035117"/>
    <w:rsid w:val="00042597"/>
    <w:rsid w:val="000471F8"/>
    <w:rsid w:val="000472FF"/>
    <w:rsid w:val="0005271D"/>
    <w:rsid w:val="00057AA2"/>
    <w:rsid w:val="0006442E"/>
    <w:rsid w:val="00065E37"/>
    <w:rsid w:val="00066ECC"/>
    <w:rsid w:val="000716D0"/>
    <w:rsid w:val="00073166"/>
    <w:rsid w:val="0007765B"/>
    <w:rsid w:val="00080768"/>
    <w:rsid w:val="00080C4D"/>
    <w:rsid w:val="00083AF1"/>
    <w:rsid w:val="00085369"/>
    <w:rsid w:val="00085B97"/>
    <w:rsid w:val="000865EE"/>
    <w:rsid w:val="00090A57"/>
    <w:rsid w:val="00094585"/>
    <w:rsid w:val="0009710B"/>
    <w:rsid w:val="000A1ADE"/>
    <w:rsid w:val="000B4E1D"/>
    <w:rsid w:val="000B5548"/>
    <w:rsid w:val="000C4CA8"/>
    <w:rsid w:val="000C5A9A"/>
    <w:rsid w:val="000C5E1E"/>
    <w:rsid w:val="000D16D6"/>
    <w:rsid w:val="000D6697"/>
    <w:rsid w:val="000D67EB"/>
    <w:rsid w:val="000D74AF"/>
    <w:rsid w:val="000D7B8F"/>
    <w:rsid w:val="000E4F36"/>
    <w:rsid w:val="000F37BD"/>
    <w:rsid w:val="000F5573"/>
    <w:rsid w:val="000F67EB"/>
    <w:rsid w:val="00100985"/>
    <w:rsid w:val="00101DAF"/>
    <w:rsid w:val="00105D75"/>
    <w:rsid w:val="00111C6D"/>
    <w:rsid w:val="00117265"/>
    <w:rsid w:val="00120F96"/>
    <w:rsid w:val="00123A1F"/>
    <w:rsid w:val="0012454A"/>
    <w:rsid w:val="00130419"/>
    <w:rsid w:val="00137090"/>
    <w:rsid w:val="00162C32"/>
    <w:rsid w:val="00167ED5"/>
    <w:rsid w:val="00174017"/>
    <w:rsid w:val="00176832"/>
    <w:rsid w:val="00177063"/>
    <w:rsid w:val="00191FC5"/>
    <w:rsid w:val="00192A5E"/>
    <w:rsid w:val="001930F4"/>
    <w:rsid w:val="00193165"/>
    <w:rsid w:val="00194EBE"/>
    <w:rsid w:val="001A16F1"/>
    <w:rsid w:val="001A5CD0"/>
    <w:rsid w:val="001A6430"/>
    <w:rsid w:val="001A7A64"/>
    <w:rsid w:val="001B2EE1"/>
    <w:rsid w:val="001B3274"/>
    <w:rsid w:val="001B383E"/>
    <w:rsid w:val="001C32C5"/>
    <w:rsid w:val="001C4DCC"/>
    <w:rsid w:val="001D0D70"/>
    <w:rsid w:val="001D0E6D"/>
    <w:rsid w:val="001D4A41"/>
    <w:rsid w:val="001D4BD2"/>
    <w:rsid w:val="001E53BD"/>
    <w:rsid w:val="001E653A"/>
    <w:rsid w:val="001F52E3"/>
    <w:rsid w:val="001F5BAD"/>
    <w:rsid w:val="001F71E6"/>
    <w:rsid w:val="00211BD8"/>
    <w:rsid w:val="002159A1"/>
    <w:rsid w:val="00223368"/>
    <w:rsid w:val="00226D54"/>
    <w:rsid w:val="00233D27"/>
    <w:rsid w:val="00240BDA"/>
    <w:rsid w:val="00242104"/>
    <w:rsid w:val="0024220A"/>
    <w:rsid w:val="00254E64"/>
    <w:rsid w:val="00257EB3"/>
    <w:rsid w:val="00262F3C"/>
    <w:rsid w:val="002743BE"/>
    <w:rsid w:val="00275B6E"/>
    <w:rsid w:val="002877EF"/>
    <w:rsid w:val="00290B4B"/>
    <w:rsid w:val="0029581E"/>
    <w:rsid w:val="00295ED3"/>
    <w:rsid w:val="002964F9"/>
    <w:rsid w:val="002A1315"/>
    <w:rsid w:val="002A6583"/>
    <w:rsid w:val="002A6594"/>
    <w:rsid w:val="002A7745"/>
    <w:rsid w:val="002B0F43"/>
    <w:rsid w:val="002B1794"/>
    <w:rsid w:val="002B6B9D"/>
    <w:rsid w:val="002C4808"/>
    <w:rsid w:val="002D5192"/>
    <w:rsid w:val="002E4F94"/>
    <w:rsid w:val="00304544"/>
    <w:rsid w:val="00306F24"/>
    <w:rsid w:val="00313D20"/>
    <w:rsid w:val="003165C7"/>
    <w:rsid w:val="0031790E"/>
    <w:rsid w:val="00317C66"/>
    <w:rsid w:val="00323BDF"/>
    <w:rsid w:val="00330DD9"/>
    <w:rsid w:val="00332724"/>
    <w:rsid w:val="00337BC7"/>
    <w:rsid w:val="00337CE0"/>
    <w:rsid w:val="00342C75"/>
    <w:rsid w:val="00347E75"/>
    <w:rsid w:val="00352BFF"/>
    <w:rsid w:val="003604C2"/>
    <w:rsid w:val="0036150B"/>
    <w:rsid w:val="00372EAE"/>
    <w:rsid w:val="00372F2B"/>
    <w:rsid w:val="0037427A"/>
    <w:rsid w:val="00374D5C"/>
    <w:rsid w:val="00380C96"/>
    <w:rsid w:val="00383056"/>
    <w:rsid w:val="00391375"/>
    <w:rsid w:val="003C509C"/>
    <w:rsid w:val="003C707F"/>
    <w:rsid w:val="003D1054"/>
    <w:rsid w:val="003D1F80"/>
    <w:rsid w:val="003D62F0"/>
    <w:rsid w:val="003E64E3"/>
    <w:rsid w:val="003F0866"/>
    <w:rsid w:val="003F586D"/>
    <w:rsid w:val="00413037"/>
    <w:rsid w:val="00420204"/>
    <w:rsid w:val="004249BD"/>
    <w:rsid w:val="0043129C"/>
    <w:rsid w:val="00433F0F"/>
    <w:rsid w:val="00441EB2"/>
    <w:rsid w:val="00442FB5"/>
    <w:rsid w:val="00456ADD"/>
    <w:rsid w:val="00461238"/>
    <w:rsid w:val="00461F3E"/>
    <w:rsid w:val="0046661F"/>
    <w:rsid w:val="00467196"/>
    <w:rsid w:val="00467915"/>
    <w:rsid w:val="00484691"/>
    <w:rsid w:val="0049127D"/>
    <w:rsid w:val="00491E12"/>
    <w:rsid w:val="00495D86"/>
    <w:rsid w:val="004B0BAC"/>
    <w:rsid w:val="004B3039"/>
    <w:rsid w:val="004B409B"/>
    <w:rsid w:val="004B735F"/>
    <w:rsid w:val="004C1815"/>
    <w:rsid w:val="004C5DB5"/>
    <w:rsid w:val="004D1A7B"/>
    <w:rsid w:val="004D4460"/>
    <w:rsid w:val="004D643D"/>
    <w:rsid w:val="004D670F"/>
    <w:rsid w:val="004D6F81"/>
    <w:rsid w:val="004E468F"/>
    <w:rsid w:val="004E512C"/>
    <w:rsid w:val="004E6466"/>
    <w:rsid w:val="004F1892"/>
    <w:rsid w:val="00512156"/>
    <w:rsid w:val="005166FF"/>
    <w:rsid w:val="005223ED"/>
    <w:rsid w:val="005249AF"/>
    <w:rsid w:val="00524AAE"/>
    <w:rsid w:val="0053021C"/>
    <w:rsid w:val="00541790"/>
    <w:rsid w:val="00545663"/>
    <w:rsid w:val="00554320"/>
    <w:rsid w:val="00560CCB"/>
    <w:rsid w:val="005630D1"/>
    <w:rsid w:val="005653F0"/>
    <w:rsid w:val="00567F57"/>
    <w:rsid w:val="00572B22"/>
    <w:rsid w:val="00573004"/>
    <w:rsid w:val="005737D5"/>
    <w:rsid w:val="005754E6"/>
    <w:rsid w:val="00577838"/>
    <w:rsid w:val="005859A4"/>
    <w:rsid w:val="0059468D"/>
    <w:rsid w:val="005A0B91"/>
    <w:rsid w:val="005A5764"/>
    <w:rsid w:val="005B25E9"/>
    <w:rsid w:val="005B594A"/>
    <w:rsid w:val="005B5DD5"/>
    <w:rsid w:val="005B7EB8"/>
    <w:rsid w:val="005C0768"/>
    <w:rsid w:val="005C67A3"/>
    <w:rsid w:val="005D18DC"/>
    <w:rsid w:val="005D294E"/>
    <w:rsid w:val="005F1338"/>
    <w:rsid w:val="005F4EDA"/>
    <w:rsid w:val="0060280C"/>
    <w:rsid w:val="00614B3A"/>
    <w:rsid w:val="00620303"/>
    <w:rsid w:val="006266CB"/>
    <w:rsid w:val="00635CBA"/>
    <w:rsid w:val="00636266"/>
    <w:rsid w:val="00642EA4"/>
    <w:rsid w:val="006434F3"/>
    <w:rsid w:val="00645F7D"/>
    <w:rsid w:val="006479F1"/>
    <w:rsid w:val="0066605D"/>
    <w:rsid w:val="00667AB4"/>
    <w:rsid w:val="006700CA"/>
    <w:rsid w:val="00671C04"/>
    <w:rsid w:val="00672465"/>
    <w:rsid w:val="00682673"/>
    <w:rsid w:val="0068415E"/>
    <w:rsid w:val="00693D18"/>
    <w:rsid w:val="00694485"/>
    <w:rsid w:val="006A1381"/>
    <w:rsid w:val="006A1F17"/>
    <w:rsid w:val="006A34BF"/>
    <w:rsid w:val="006A3A77"/>
    <w:rsid w:val="006A67E3"/>
    <w:rsid w:val="006B2D8E"/>
    <w:rsid w:val="006C1661"/>
    <w:rsid w:val="006C3F4E"/>
    <w:rsid w:val="006C43B3"/>
    <w:rsid w:val="006C5096"/>
    <w:rsid w:val="006D0F62"/>
    <w:rsid w:val="006E38D3"/>
    <w:rsid w:val="006F159F"/>
    <w:rsid w:val="006F15B3"/>
    <w:rsid w:val="006F6086"/>
    <w:rsid w:val="006F6088"/>
    <w:rsid w:val="006F658D"/>
    <w:rsid w:val="007003DD"/>
    <w:rsid w:val="0070156E"/>
    <w:rsid w:val="00710854"/>
    <w:rsid w:val="00711A78"/>
    <w:rsid w:val="007233F2"/>
    <w:rsid w:val="00731DF3"/>
    <w:rsid w:val="007416EC"/>
    <w:rsid w:val="00743C06"/>
    <w:rsid w:val="00743F8A"/>
    <w:rsid w:val="00757C81"/>
    <w:rsid w:val="007610B0"/>
    <w:rsid w:val="00762134"/>
    <w:rsid w:val="0076346F"/>
    <w:rsid w:val="00763E43"/>
    <w:rsid w:val="0076575F"/>
    <w:rsid w:val="00776E1F"/>
    <w:rsid w:val="0078487C"/>
    <w:rsid w:val="0079149C"/>
    <w:rsid w:val="00794812"/>
    <w:rsid w:val="00797748"/>
    <w:rsid w:val="007B1E01"/>
    <w:rsid w:val="007B4F55"/>
    <w:rsid w:val="007B6E69"/>
    <w:rsid w:val="007C19D9"/>
    <w:rsid w:val="007C62BD"/>
    <w:rsid w:val="007C7B38"/>
    <w:rsid w:val="007D02F3"/>
    <w:rsid w:val="007D0CF8"/>
    <w:rsid w:val="007D6778"/>
    <w:rsid w:val="007D7F44"/>
    <w:rsid w:val="007E0552"/>
    <w:rsid w:val="007E1AEF"/>
    <w:rsid w:val="007E1AF3"/>
    <w:rsid w:val="007F0A2B"/>
    <w:rsid w:val="007F0A7D"/>
    <w:rsid w:val="007F71AC"/>
    <w:rsid w:val="007F740B"/>
    <w:rsid w:val="00800C79"/>
    <w:rsid w:val="0080105F"/>
    <w:rsid w:val="008133F6"/>
    <w:rsid w:val="00813EDB"/>
    <w:rsid w:val="00815D3C"/>
    <w:rsid w:val="00816EB1"/>
    <w:rsid w:val="008230B4"/>
    <w:rsid w:val="008235A0"/>
    <w:rsid w:val="00823DDC"/>
    <w:rsid w:val="008240B5"/>
    <w:rsid w:val="00824291"/>
    <w:rsid w:val="00827D4B"/>
    <w:rsid w:val="00832E50"/>
    <w:rsid w:val="00834741"/>
    <w:rsid w:val="00837FE2"/>
    <w:rsid w:val="00845DF6"/>
    <w:rsid w:val="00851733"/>
    <w:rsid w:val="008641FA"/>
    <w:rsid w:val="00866493"/>
    <w:rsid w:val="0087309F"/>
    <w:rsid w:val="00874F3C"/>
    <w:rsid w:val="008775A0"/>
    <w:rsid w:val="00887795"/>
    <w:rsid w:val="00895537"/>
    <w:rsid w:val="008A10A1"/>
    <w:rsid w:val="008A15E8"/>
    <w:rsid w:val="008A34D2"/>
    <w:rsid w:val="008A6C8B"/>
    <w:rsid w:val="008B3019"/>
    <w:rsid w:val="008B5B52"/>
    <w:rsid w:val="008B5E9F"/>
    <w:rsid w:val="008C13A0"/>
    <w:rsid w:val="008C6643"/>
    <w:rsid w:val="008C6AC0"/>
    <w:rsid w:val="008C73DD"/>
    <w:rsid w:val="008D07E3"/>
    <w:rsid w:val="008D0DC7"/>
    <w:rsid w:val="008D351D"/>
    <w:rsid w:val="008D4C98"/>
    <w:rsid w:val="008D617D"/>
    <w:rsid w:val="008F7FED"/>
    <w:rsid w:val="00901624"/>
    <w:rsid w:val="009035BC"/>
    <w:rsid w:val="00905CB4"/>
    <w:rsid w:val="00911234"/>
    <w:rsid w:val="00911FF6"/>
    <w:rsid w:val="00921212"/>
    <w:rsid w:val="009263A2"/>
    <w:rsid w:val="00927069"/>
    <w:rsid w:val="00927DF5"/>
    <w:rsid w:val="00935227"/>
    <w:rsid w:val="00943512"/>
    <w:rsid w:val="00946B96"/>
    <w:rsid w:val="0094716E"/>
    <w:rsid w:val="00961E15"/>
    <w:rsid w:val="00974C8C"/>
    <w:rsid w:val="00975E6F"/>
    <w:rsid w:val="00977087"/>
    <w:rsid w:val="0098043A"/>
    <w:rsid w:val="009835A1"/>
    <w:rsid w:val="00997E66"/>
    <w:rsid w:val="009A09F4"/>
    <w:rsid w:val="009B747F"/>
    <w:rsid w:val="009C4DC9"/>
    <w:rsid w:val="009C4DF1"/>
    <w:rsid w:val="009C7DDE"/>
    <w:rsid w:val="009D6506"/>
    <w:rsid w:val="009D6E85"/>
    <w:rsid w:val="00A04E4E"/>
    <w:rsid w:val="00A06218"/>
    <w:rsid w:val="00A153A1"/>
    <w:rsid w:val="00A20221"/>
    <w:rsid w:val="00A34357"/>
    <w:rsid w:val="00A43B3D"/>
    <w:rsid w:val="00A454FA"/>
    <w:rsid w:val="00A512FD"/>
    <w:rsid w:val="00A53A3E"/>
    <w:rsid w:val="00A5446B"/>
    <w:rsid w:val="00A568F2"/>
    <w:rsid w:val="00A630D8"/>
    <w:rsid w:val="00A8475D"/>
    <w:rsid w:val="00A854FA"/>
    <w:rsid w:val="00A8574F"/>
    <w:rsid w:val="00A9415E"/>
    <w:rsid w:val="00A9457E"/>
    <w:rsid w:val="00A95AA7"/>
    <w:rsid w:val="00A962F6"/>
    <w:rsid w:val="00AA1323"/>
    <w:rsid w:val="00AA2E0E"/>
    <w:rsid w:val="00AA460B"/>
    <w:rsid w:val="00AA7315"/>
    <w:rsid w:val="00AB0C6E"/>
    <w:rsid w:val="00AB5BF7"/>
    <w:rsid w:val="00AB7697"/>
    <w:rsid w:val="00AC6F6E"/>
    <w:rsid w:val="00AD066D"/>
    <w:rsid w:val="00AD3167"/>
    <w:rsid w:val="00AD46CE"/>
    <w:rsid w:val="00AD7E4A"/>
    <w:rsid w:val="00AF0D26"/>
    <w:rsid w:val="00AF14A6"/>
    <w:rsid w:val="00AF5411"/>
    <w:rsid w:val="00B02BEB"/>
    <w:rsid w:val="00B039EC"/>
    <w:rsid w:val="00B07AD4"/>
    <w:rsid w:val="00B15C63"/>
    <w:rsid w:val="00B23078"/>
    <w:rsid w:val="00B24ECE"/>
    <w:rsid w:val="00B2770E"/>
    <w:rsid w:val="00B27B62"/>
    <w:rsid w:val="00B3232F"/>
    <w:rsid w:val="00B33DB7"/>
    <w:rsid w:val="00B44DAF"/>
    <w:rsid w:val="00B50825"/>
    <w:rsid w:val="00B562E4"/>
    <w:rsid w:val="00B712BF"/>
    <w:rsid w:val="00B84B09"/>
    <w:rsid w:val="00B96A3F"/>
    <w:rsid w:val="00BA30C5"/>
    <w:rsid w:val="00BA393B"/>
    <w:rsid w:val="00BA6243"/>
    <w:rsid w:val="00BC3D1F"/>
    <w:rsid w:val="00BD1A02"/>
    <w:rsid w:val="00BD7CFB"/>
    <w:rsid w:val="00BE199E"/>
    <w:rsid w:val="00BE34BA"/>
    <w:rsid w:val="00BF3BDB"/>
    <w:rsid w:val="00BF5AB3"/>
    <w:rsid w:val="00BF5E57"/>
    <w:rsid w:val="00C010A0"/>
    <w:rsid w:val="00C10050"/>
    <w:rsid w:val="00C123AB"/>
    <w:rsid w:val="00C13363"/>
    <w:rsid w:val="00C15388"/>
    <w:rsid w:val="00C23A9E"/>
    <w:rsid w:val="00C3291E"/>
    <w:rsid w:val="00C34834"/>
    <w:rsid w:val="00C351F5"/>
    <w:rsid w:val="00C40153"/>
    <w:rsid w:val="00C50A4F"/>
    <w:rsid w:val="00C52B58"/>
    <w:rsid w:val="00C53A7B"/>
    <w:rsid w:val="00C54103"/>
    <w:rsid w:val="00C66FA1"/>
    <w:rsid w:val="00C70807"/>
    <w:rsid w:val="00C726B6"/>
    <w:rsid w:val="00C73C78"/>
    <w:rsid w:val="00C8228E"/>
    <w:rsid w:val="00C82603"/>
    <w:rsid w:val="00C8550C"/>
    <w:rsid w:val="00C8702A"/>
    <w:rsid w:val="00CA477D"/>
    <w:rsid w:val="00CB1BCC"/>
    <w:rsid w:val="00CC1926"/>
    <w:rsid w:val="00CC2735"/>
    <w:rsid w:val="00CC3645"/>
    <w:rsid w:val="00CD0819"/>
    <w:rsid w:val="00CD171F"/>
    <w:rsid w:val="00CD2972"/>
    <w:rsid w:val="00CD297C"/>
    <w:rsid w:val="00CD2FE5"/>
    <w:rsid w:val="00CD5001"/>
    <w:rsid w:val="00CE408B"/>
    <w:rsid w:val="00CF56A2"/>
    <w:rsid w:val="00CF576B"/>
    <w:rsid w:val="00CF670A"/>
    <w:rsid w:val="00CF7D0F"/>
    <w:rsid w:val="00D02700"/>
    <w:rsid w:val="00D02F4A"/>
    <w:rsid w:val="00D04117"/>
    <w:rsid w:val="00D11987"/>
    <w:rsid w:val="00D14CD1"/>
    <w:rsid w:val="00D30A1C"/>
    <w:rsid w:val="00D32B7F"/>
    <w:rsid w:val="00D42D43"/>
    <w:rsid w:val="00D46473"/>
    <w:rsid w:val="00D4662A"/>
    <w:rsid w:val="00D47710"/>
    <w:rsid w:val="00D51DB3"/>
    <w:rsid w:val="00D542CC"/>
    <w:rsid w:val="00D54DC2"/>
    <w:rsid w:val="00D55A98"/>
    <w:rsid w:val="00D72A05"/>
    <w:rsid w:val="00D7334A"/>
    <w:rsid w:val="00D74AFE"/>
    <w:rsid w:val="00D74DAE"/>
    <w:rsid w:val="00D75B52"/>
    <w:rsid w:val="00D7673A"/>
    <w:rsid w:val="00D77C77"/>
    <w:rsid w:val="00D77FD8"/>
    <w:rsid w:val="00D929F2"/>
    <w:rsid w:val="00DA3DE9"/>
    <w:rsid w:val="00DA4862"/>
    <w:rsid w:val="00DB3A67"/>
    <w:rsid w:val="00DB67C6"/>
    <w:rsid w:val="00DC4C1D"/>
    <w:rsid w:val="00DC4DAE"/>
    <w:rsid w:val="00DC612D"/>
    <w:rsid w:val="00DD42C6"/>
    <w:rsid w:val="00DD754E"/>
    <w:rsid w:val="00DE0888"/>
    <w:rsid w:val="00DE109C"/>
    <w:rsid w:val="00E0157B"/>
    <w:rsid w:val="00E015CF"/>
    <w:rsid w:val="00E05368"/>
    <w:rsid w:val="00E05390"/>
    <w:rsid w:val="00E07127"/>
    <w:rsid w:val="00E11558"/>
    <w:rsid w:val="00E27EEC"/>
    <w:rsid w:val="00E31B57"/>
    <w:rsid w:val="00E32BA1"/>
    <w:rsid w:val="00E433FA"/>
    <w:rsid w:val="00E43DE9"/>
    <w:rsid w:val="00E51265"/>
    <w:rsid w:val="00E5422C"/>
    <w:rsid w:val="00E57373"/>
    <w:rsid w:val="00E57C69"/>
    <w:rsid w:val="00E710AF"/>
    <w:rsid w:val="00E74CF6"/>
    <w:rsid w:val="00E8667B"/>
    <w:rsid w:val="00E95E18"/>
    <w:rsid w:val="00EB1C0E"/>
    <w:rsid w:val="00EB3624"/>
    <w:rsid w:val="00EB4FA1"/>
    <w:rsid w:val="00EC079C"/>
    <w:rsid w:val="00ED4DD2"/>
    <w:rsid w:val="00EE0CAE"/>
    <w:rsid w:val="00EE11D9"/>
    <w:rsid w:val="00EE13FC"/>
    <w:rsid w:val="00EE1D85"/>
    <w:rsid w:val="00EF4607"/>
    <w:rsid w:val="00EF4FCC"/>
    <w:rsid w:val="00F01BCF"/>
    <w:rsid w:val="00F0535F"/>
    <w:rsid w:val="00F20609"/>
    <w:rsid w:val="00F20788"/>
    <w:rsid w:val="00F2187D"/>
    <w:rsid w:val="00F258F7"/>
    <w:rsid w:val="00F40899"/>
    <w:rsid w:val="00F43FBD"/>
    <w:rsid w:val="00F4454A"/>
    <w:rsid w:val="00F47633"/>
    <w:rsid w:val="00F51B59"/>
    <w:rsid w:val="00F52B64"/>
    <w:rsid w:val="00F640A4"/>
    <w:rsid w:val="00F71EA7"/>
    <w:rsid w:val="00F7727B"/>
    <w:rsid w:val="00F9327C"/>
    <w:rsid w:val="00FA26D1"/>
    <w:rsid w:val="00FB1322"/>
    <w:rsid w:val="00FB19CA"/>
    <w:rsid w:val="00FB45D7"/>
    <w:rsid w:val="00FB5468"/>
    <w:rsid w:val="00FB6BA1"/>
    <w:rsid w:val="00FB79FC"/>
    <w:rsid w:val="00FC299F"/>
    <w:rsid w:val="00FC34F0"/>
    <w:rsid w:val="00FC4328"/>
    <w:rsid w:val="00FC59AF"/>
    <w:rsid w:val="00FD2A09"/>
    <w:rsid w:val="00FD67C1"/>
    <w:rsid w:val="00FE32C2"/>
    <w:rsid w:val="00FE38BF"/>
    <w:rsid w:val="00FE4233"/>
    <w:rsid w:val="00FE51D2"/>
    <w:rsid w:val="00FE6E38"/>
    <w:rsid w:val="00FF140F"/>
    <w:rsid w:val="00FF229C"/>
    <w:rsid w:val="01AF5332"/>
    <w:rsid w:val="01E054EB"/>
    <w:rsid w:val="03595555"/>
    <w:rsid w:val="03E868D9"/>
    <w:rsid w:val="045A1585"/>
    <w:rsid w:val="04CD61FB"/>
    <w:rsid w:val="04F419D9"/>
    <w:rsid w:val="0580501B"/>
    <w:rsid w:val="06367DD0"/>
    <w:rsid w:val="07634BF4"/>
    <w:rsid w:val="08FC70AE"/>
    <w:rsid w:val="0AD81455"/>
    <w:rsid w:val="0C6F7B97"/>
    <w:rsid w:val="0EF90284"/>
    <w:rsid w:val="115D26B4"/>
    <w:rsid w:val="12220CEE"/>
    <w:rsid w:val="17D07906"/>
    <w:rsid w:val="1D4D7A81"/>
    <w:rsid w:val="1D632E00"/>
    <w:rsid w:val="1D7A11E0"/>
    <w:rsid w:val="266D2F42"/>
    <w:rsid w:val="281713B7"/>
    <w:rsid w:val="28D41056"/>
    <w:rsid w:val="2B724B56"/>
    <w:rsid w:val="2B9E76FA"/>
    <w:rsid w:val="2D4A04F1"/>
    <w:rsid w:val="2D953DCF"/>
    <w:rsid w:val="2F462582"/>
    <w:rsid w:val="32244DFC"/>
    <w:rsid w:val="331D184C"/>
    <w:rsid w:val="357A4A20"/>
    <w:rsid w:val="362B4280"/>
    <w:rsid w:val="36C56482"/>
    <w:rsid w:val="374675C3"/>
    <w:rsid w:val="37A442EA"/>
    <w:rsid w:val="396957EB"/>
    <w:rsid w:val="3E442382"/>
    <w:rsid w:val="3FE71217"/>
    <w:rsid w:val="42E14644"/>
    <w:rsid w:val="436332AB"/>
    <w:rsid w:val="438576C5"/>
    <w:rsid w:val="43D9356D"/>
    <w:rsid w:val="442B50C6"/>
    <w:rsid w:val="443E0AF9"/>
    <w:rsid w:val="44A26055"/>
    <w:rsid w:val="452B604A"/>
    <w:rsid w:val="49B44860"/>
    <w:rsid w:val="4AB16FF2"/>
    <w:rsid w:val="4EC75CDC"/>
    <w:rsid w:val="53B51901"/>
    <w:rsid w:val="55DF4A13"/>
    <w:rsid w:val="572C3A40"/>
    <w:rsid w:val="59881DF1"/>
    <w:rsid w:val="59D95C1D"/>
    <w:rsid w:val="5A625C12"/>
    <w:rsid w:val="5B5F7C32"/>
    <w:rsid w:val="5BA34735"/>
    <w:rsid w:val="5C3655A9"/>
    <w:rsid w:val="5DF66D9E"/>
    <w:rsid w:val="5F9A7BFD"/>
    <w:rsid w:val="63E91153"/>
    <w:rsid w:val="64C758A0"/>
    <w:rsid w:val="656942F9"/>
    <w:rsid w:val="66D02156"/>
    <w:rsid w:val="66D165FA"/>
    <w:rsid w:val="69AE677E"/>
    <w:rsid w:val="6A31115D"/>
    <w:rsid w:val="6CE801F9"/>
    <w:rsid w:val="6EAB5982"/>
    <w:rsid w:val="6F370FC4"/>
    <w:rsid w:val="71D234BD"/>
    <w:rsid w:val="725B146D"/>
    <w:rsid w:val="766C1E9B"/>
    <w:rsid w:val="785901FD"/>
    <w:rsid w:val="78895C63"/>
    <w:rsid w:val="78CA10FB"/>
    <w:rsid w:val="7BD06A28"/>
    <w:rsid w:val="7D5E0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5"/>
    <w:autoRedefine/>
    <w:qFormat/>
    <w:uiPriority w:val="0"/>
    <w:pPr>
      <w:keepNext/>
      <w:keepLines/>
      <w:spacing w:before="120" w:after="120" w:line="578" w:lineRule="auto"/>
      <w:outlineLvl w:val="0"/>
    </w:pPr>
    <w:rPr>
      <w:b/>
      <w:bCs/>
      <w:kern w:val="44"/>
      <w:sz w:val="44"/>
      <w:szCs w:val="44"/>
    </w:rPr>
  </w:style>
  <w:style w:type="paragraph" w:styleId="3">
    <w:name w:val="heading 2"/>
    <w:basedOn w:val="1"/>
    <w:next w:val="1"/>
    <w:link w:val="19"/>
    <w:autoRedefine/>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6"/>
    <w:autoRedefine/>
    <w:qFormat/>
    <w:uiPriority w:val="0"/>
    <w:pPr>
      <w:jc w:val="left"/>
    </w:pPr>
  </w:style>
  <w:style w:type="paragraph" w:styleId="5">
    <w:name w:val="Balloon Text"/>
    <w:basedOn w:val="1"/>
    <w:link w:val="18"/>
    <w:autoRedefine/>
    <w:qFormat/>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0"/>
    <w:pPr>
      <w:snapToGrid w:val="0"/>
      <w:spacing w:line="540" w:lineRule="exact"/>
      <w:jc w:val="center"/>
    </w:pPr>
    <w:rPr>
      <w:rFonts w:ascii="黑体" w:hAnsi="黑体" w:eastAsia="黑体"/>
      <w:b/>
      <w:kern w:val="0"/>
      <w:sz w:val="36"/>
      <w:szCs w:val="36"/>
    </w:rPr>
  </w:style>
  <w:style w:type="paragraph" w:styleId="9">
    <w:name w:val="annotation subject"/>
    <w:basedOn w:val="4"/>
    <w:next w:val="4"/>
    <w:link w:val="17"/>
    <w:autoRedefine/>
    <w:qFormat/>
    <w:uiPriority w:val="0"/>
    <w:rPr>
      <w:b/>
      <w:bCs/>
    </w:rPr>
  </w:style>
  <w:style w:type="character" w:styleId="12">
    <w:name w:val="annotation reference"/>
    <w:autoRedefine/>
    <w:qFormat/>
    <w:uiPriority w:val="0"/>
    <w:rPr>
      <w:sz w:val="21"/>
      <w:szCs w:val="21"/>
    </w:rPr>
  </w:style>
  <w:style w:type="character" w:customStyle="1" w:styleId="13">
    <w:name w:val="页眉 字符"/>
    <w:link w:val="7"/>
    <w:autoRedefine/>
    <w:qFormat/>
    <w:uiPriority w:val="0"/>
    <w:rPr>
      <w:rFonts w:ascii="Times New Roman" w:hAnsi="Times New Roman"/>
      <w:kern w:val="2"/>
      <w:sz w:val="18"/>
      <w:szCs w:val="18"/>
    </w:rPr>
  </w:style>
  <w:style w:type="character" w:customStyle="1" w:styleId="14">
    <w:name w:val="页脚 字符"/>
    <w:link w:val="6"/>
    <w:autoRedefine/>
    <w:qFormat/>
    <w:uiPriority w:val="99"/>
    <w:rPr>
      <w:rFonts w:ascii="Times New Roman" w:hAnsi="Times New Roman"/>
      <w:kern w:val="2"/>
      <w:sz w:val="18"/>
      <w:szCs w:val="18"/>
    </w:rPr>
  </w:style>
  <w:style w:type="character" w:customStyle="1" w:styleId="15">
    <w:name w:val="标题 1 字符"/>
    <w:link w:val="2"/>
    <w:autoRedefine/>
    <w:qFormat/>
    <w:uiPriority w:val="0"/>
    <w:rPr>
      <w:rFonts w:ascii="Times New Roman" w:hAnsi="Times New Roman"/>
      <w:b/>
      <w:bCs/>
      <w:kern w:val="44"/>
      <w:sz w:val="44"/>
      <w:szCs w:val="44"/>
    </w:rPr>
  </w:style>
  <w:style w:type="character" w:customStyle="1" w:styleId="16">
    <w:name w:val="批注文字 字符1"/>
    <w:link w:val="4"/>
    <w:qFormat/>
    <w:uiPriority w:val="0"/>
    <w:rPr>
      <w:rFonts w:ascii="Times New Roman" w:hAnsi="Times New Roman"/>
      <w:kern w:val="2"/>
      <w:sz w:val="21"/>
      <w:szCs w:val="22"/>
    </w:rPr>
  </w:style>
  <w:style w:type="character" w:customStyle="1" w:styleId="17">
    <w:name w:val="批注主题 字符"/>
    <w:link w:val="9"/>
    <w:autoRedefine/>
    <w:qFormat/>
    <w:uiPriority w:val="0"/>
    <w:rPr>
      <w:rFonts w:ascii="Times New Roman" w:hAnsi="Times New Roman"/>
      <w:b/>
      <w:bCs/>
      <w:kern w:val="2"/>
      <w:sz w:val="21"/>
      <w:szCs w:val="22"/>
    </w:rPr>
  </w:style>
  <w:style w:type="character" w:customStyle="1" w:styleId="18">
    <w:name w:val="批注框文本 字符"/>
    <w:link w:val="5"/>
    <w:autoRedefine/>
    <w:qFormat/>
    <w:uiPriority w:val="0"/>
    <w:rPr>
      <w:rFonts w:ascii="Times New Roman" w:hAnsi="Times New Roman"/>
      <w:kern w:val="2"/>
      <w:sz w:val="18"/>
      <w:szCs w:val="18"/>
    </w:rPr>
  </w:style>
  <w:style w:type="character" w:customStyle="1" w:styleId="19">
    <w:name w:val="标题 2 字符"/>
    <w:link w:val="3"/>
    <w:autoRedefine/>
    <w:qFormat/>
    <w:uiPriority w:val="0"/>
    <w:rPr>
      <w:rFonts w:ascii="Calibri Light" w:hAnsi="Calibri Light" w:eastAsia="宋体" w:cs="Times New Roman"/>
      <w:b/>
      <w:bCs/>
      <w:kern w:val="2"/>
      <w:sz w:val="32"/>
      <w:szCs w:val="32"/>
    </w:rPr>
  </w:style>
  <w:style w:type="character" w:customStyle="1" w:styleId="20">
    <w:name w:val="批注文字 字符"/>
    <w:autoRedefine/>
    <w:qFormat/>
    <w:uiPriority w:val="0"/>
    <w:rPr>
      <w:rFonts w:ascii="Times New Roman" w:hAnsi="Times New Roman" w:eastAsia="宋体" w:cs="Times New Roman"/>
      <w:sz w:val="24"/>
    </w:rPr>
  </w:style>
  <w:style w:type="paragraph" w:styleId="21">
    <w:name w:val="List Paragraph"/>
    <w:basedOn w:val="1"/>
    <w:autoRedefine/>
    <w:qFormat/>
    <w:uiPriority w:val="99"/>
    <w:pPr>
      <w:ind w:firstLine="420" w:firstLineChars="200"/>
    </w:pPr>
  </w:style>
  <w:style w:type="table" w:customStyle="1" w:styleId="22">
    <w:name w:val="Table Normal"/>
    <w:autoRedefine/>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8692</Words>
  <Characters>9152</Characters>
  <Lines>68</Lines>
  <Paragraphs>19</Paragraphs>
  <TotalTime>20</TotalTime>
  <ScaleCrop>false</ScaleCrop>
  <LinksUpToDate>false</LinksUpToDate>
  <CharactersWithSpaces>9202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2023-10-10T01:54:00Z</dcterms:created>
  <dc:creator>许超</dc:creator>
  <cp:lastModifiedBy>WPS_1528191023</cp:lastModifiedBy>
  <dcterms:modified xsi:type="dcterms:W3CDTF">2025-12-08T03:01:33Z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DCC6452B4F164FBA96F51B6BB248CE17_12</vt:lpwstr>
  </property>
  <property fmtid="{D5CDD505-2E9C-101B-9397-08002B2CF9AE}" pid="4" name="KSOTemplateDocerSaveRecord">
    <vt:lpwstr>eyJoZGlkIjoiNDZkYzZjYWI2MTBhMjU3NzYzNmZmNTMxYTQ3M2UzMjQiLCJ1c2VySWQiOiIzNzYyMzAxNDIifQ==</vt:lpwstr>
  </property>
</Properties>
</file>